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type="auto" w:w="0"/>
        <w:jc w:val="center"/>
        <w:tblLook w:firstColumn="1" w:firstRow="1" w:lastColumn="0" w:lastRow="0" w:noHBand="0" w:noVBand="1" w:val="04A0"/>
      </w:tblPr>
      <w:tblGrid>
        <w:gridCol w:w="9866"/>
      </w:tblGrid>
      <w:tr>
        <w:tc>
          <w:tcPr>
            <w:tcW w:type="dxa" w:w="9866"/>
            <w:shd w:fill="17365D"/>
            <w:tcBorders>
              <w:top w:val="single" w:sz="1" w:space="0" w:color="17365D"/>
              <w:left w:val="single" w:sz="1" w:space="0" w:color="17365D"/>
              <w:bottom w:val="single" w:sz="1" w:space="0" w:color="17365D"/>
              <w:right w:val="single" w:sz="1" w:space="0" w:color="17365D"/>
              <w:insideH w:val="single" w:sz="1" w:space="0" w:color="17365D"/>
              <w:insideV w:val="single" w:sz="1" w:space="0" w:color="17365D"/>
            </w:tcBorders>
          </w:tcPr>
          <w:p>
            <w:pPr>
              <w:spacing w:before="920" w:after="240"/>
              <w:jc w:val="center"/>
            </w:pPr>
            <w:r>
              <w:rPr>
                <w:rFonts w:ascii="Arial" w:hAnsi="Arial"/>
                <w:b/>
                <w:color w:val="FFFFFF"/>
                <w:sz w:val="56"/>
              </w:rPr>
              <w:t>COMPLETE MEDICAL</w:t>
              <w:br/>
              <w:t>SURVIVAL ANALYSIS</w:t>
            </w:r>
          </w:p>
          <w:p>
            <w:pPr>
              <w:spacing w:after="1000"/>
              <w:jc w:val="center"/>
            </w:pPr>
            <w:r>
              <w:rPr>
                <w:rFonts w:ascii="Arial" w:hAnsi="Arial"/>
                <w:color w:val="D9E7F5"/>
                <w:sz w:val="34"/>
              </w:rPr>
              <w:t>Kidney Transplant Graft Failure</w:t>
            </w:r>
          </w:p>
        </w:tc>
      </w:tr>
    </w:tbl>
    <w:p>
      <w:pPr>
        <w:spacing w:before="600"/>
        <w:jc w:val="center"/>
      </w:pPr>
      <w:r>
        <w:rPr>
          <w:rFonts w:ascii="Arial" w:hAnsi="Arial"/>
          <w:b/>
          <w:color w:val="17365D"/>
          <w:sz w:val="26"/>
        </w:rPr>
        <w:t>Cox proportional hazards regression and survival diagnostics</w:t>
      </w:r>
    </w:p>
    <w:p>
      <w:pPr>
        <w:jc w:val="center"/>
      </w:pPr>
      <w:r>
        <w:rPr>
          <w:rFonts w:ascii="Arial" w:hAnsi="Arial"/>
          <w:color w:val="5B6573"/>
          <w:sz w:val="21"/>
        </w:rPr>
        <w:t>Analysis dataset: n = 200 synthetic patient records</w:t>
      </w:r>
    </w:p>
    <w:tbl>
      <w:tblPr>
        <w:tblW w:type="auto" w:w="0"/>
        <w:jc w:val="center"/>
        <w:tblLook w:firstColumn="1" w:firstRow="1" w:lastColumn="0" w:lastRow="0" w:noHBand="0" w:noVBand="1" w:val="04A0"/>
      </w:tblPr>
      <w:tblGrid>
        <w:gridCol w:w="9866"/>
      </w:tblGrid>
      <w:tr>
        <w:tc>
          <w:tcPr>
            <w:tcW w:type="dxa" w:w="9866"/>
            <w:shd w:fill="FCE8E8"/>
            <w:tcBorders>
              <w:top w:val="single" w:sz="8" w:space="0" w:color="9C2F2F"/>
              <w:left w:val="single" w:sz="8" w:space="0" w:color="9C2F2F"/>
              <w:bottom w:val="single" w:sz="8" w:space="0" w:color="9C2F2F"/>
              <w:right w:val="single" w:sz="8" w:space="0" w:color="9C2F2F"/>
              <w:insideH w:val="single" w:sz="8" w:space="0" w:color="9C2F2F"/>
              <w:insideV w:val="single" w:sz="8" w:space="0" w:color="9C2F2F"/>
            </w:tcBorders>
            <w:vAlign w:val="center"/>
          </w:tcPr>
          <w:p>
            <w:pPr>
              <w:spacing w:after="0" w:before="0"/>
              <w:jc w:val="left"/>
            </w:pPr>
            <w:r/>
            <w:r>
              <w:rPr>
                <w:rFonts w:ascii="Arial" w:hAnsi="Arial"/>
                <w:b w:val="0"/>
                <w:color w:val="9C2F2F"/>
                <w:sz w:val="18"/>
              </w:rPr>
              <w:t>IMPORTANT: The source workbook labels these data as synthetic and intended for teaching/practice. The results are not clinical evidence and must not be used for patient care.</w:t>
            </w:r>
          </w:p>
        </w:tc>
      </w:tr>
    </w:tbl>
    <w:p>
      <w:pPr>
        <w:spacing w:after="0"/>
      </w:pPr>
    </w:p>
    <w:p>
      <w:pPr>
        <w:spacing w:before="500"/>
        <w:jc w:val="center"/>
      </w:pPr>
      <w:r>
        <w:rPr>
          <w:color w:val="5B6573"/>
          <w:sz w:val="18"/>
        </w:rPr>
        <w:t>Prepared from the uploaded Excel workbook</w:t>
      </w:r>
    </w:p>
    <w:p>
      <w:r>
        <w:br w:type="page"/>
      </w:r>
    </w:p>
    <w:p>
      <w:pPr>
        <w:pStyle w:val="Heading1"/>
        <w:keepNext/>
      </w:pPr>
      <w:r>
        <w:t>Analysis overview</w:t>
      </w:r>
    </w:p>
    <w:p>
      <w:pPr>
        <w:keepLines/>
      </w:pPr>
      <w:r>
        <w:t>Outcome time was Follow_up_Months and the event indicator was Graft_Failure (1 = graft failure; 0 = censored). Patient identifiers, date fields, Linear_Predictor_Demo, and outcome-derived variables were excluded from regression models.</w:t>
      </w:r>
    </w:p>
    <w:p>
      <w:pPr>
        <w:keepLines/>
      </w:pPr>
      <w:r>
        <w:t>The primary multivariable model used Efron handling of tied event times. Kaplan–Meier survival estimates used Greenwood standard errors with log–log confidence intervals. Median follow-up was calculated using the reverse Kaplan–Meier method. Proportional hazards, functional form, multicollinearity, and influence diagnostics were evaluated.</w:t>
      </w:r>
    </w:p>
    <w:tbl>
      <w:tblPr>
        <w:tblW w:type="auto" w:w="0"/>
        <w:jc w:val="center"/>
        <w:tblLook w:firstColumn="1" w:firstRow="1" w:lastColumn="0" w:lastRow="0" w:noHBand="0" w:noVBand="1" w:val="04A0"/>
      </w:tblPr>
      <w:tblGrid>
        <w:gridCol w:w="9866"/>
      </w:tblGrid>
      <w:tr>
        <w:tc>
          <w:tcPr>
            <w:tcW w:type="dxa" w:w="9866"/>
            <w:shd w:fill="EDF3F8"/>
            <w:tcBorders>
              <w:top w:val="single" w:sz="8" w:space="0" w:color="1F4E78"/>
              <w:left w:val="single" w:sz="8" w:space="0" w:color="1F4E78"/>
              <w:bottom w:val="single" w:sz="8" w:space="0" w:color="1F4E78"/>
              <w:right w:val="single" w:sz="8" w:space="0" w:color="1F4E78"/>
              <w:insideH w:val="single" w:sz="8" w:space="0" w:color="1F4E78"/>
              <w:insideV w:val="single" w:sz="8" w:space="0" w:color="1F4E78"/>
            </w:tcBorders>
            <w:vAlign w:val="center"/>
          </w:tcPr>
          <w:p>
            <w:pPr>
              <w:spacing w:after="0" w:before="0"/>
              <w:jc w:val="left"/>
            </w:pPr>
            <w:r/>
            <w:r>
              <w:rPr>
                <w:rFonts w:ascii="Arial" w:hAnsi="Arial"/>
                <w:b w:val="0"/>
                <w:color w:val="5B6573"/>
                <w:sz w:val="18"/>
              </w:rPr>
              <w:t>Primary analysis population: all 200 records. No record was excluded after quality control.</w:t>
            </w:r>
          </w:p>
        </w:tc>
      </w:tr>
    </w:tbl>
    <w:p>
      <w:pPr>
        <w:spacing w:after="0"/>
      </w:pPr>
    </w:p>
    <w:p>
      <w:pPr>
        <w:pStyle w:val="Heading1"/>
        <w:keepNext/>
      </w:pPr>
      <w:r>
        <w:t>Data quality control</w:t>
      </w:r>
    </w:p>
    <w:tbl>
      <w:tblPr>
        <w:tblStyle w:val="TableGrid"/>
        <w:tblW w:type="auto" w:w="0"/>
        <w:jc w:val="center"/>
        <w:tblLayout w:type="fixed"/>
        <w:tblLook w:firstColumn="1" w:firstRow="1" w:lastColumn="0" w:lastRow="0" w:noHBand="0" w:noVBand="1" w:val="04A0"/>
      </w:tblPr>
      <w:tblGrid>
        <w:gridCol w:w="4933"/>
        <w:gridCol w:w="4933"/>
      </w:tblGrid>
      <w:tr>
        <w:trPr>
          <w:tblHeader w:val="true"/>
          <w:cantSplit/>
        </w:trPr>
        <w:tc>
          <w:tcPr>
            <w:tcW w:type="dxa" w:w="5953"/>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8"/>
              </w:rPr>
              <w:t>Quality-control item</w:t>
            </w:r>
          </w:p>
        </w:tc>
        <w:tc>
          <w:tcPr>
            <w:tcW w:type="dxa" w:w="294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8"/>
              </w:rPr>
              <w:t>Result</w:t>
            </w:r>
          </w:p>
        </w:tc>
      </w:tr>
      <w:tr>
        <w:trPr>
          <w:cantSplit/>
        </w:trPr>
        <w:tc>
          <w:tcPr>
            <w:tcW w:type="dxa" w:w="595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Total records</w:t>
            </w:r>
          </w:p>
        </w:tc>
        <w:tc>
          <w:tcPr>
            <w:tcW w:type="dxa" w:w="294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200</w:t>
            </w:r>
          </w:p>
        </w:tc>
      </w:tr>
      <w:tr>
        <w:trPr>
          <w:cantSplit/>
        </w:trPr>
        <w:tc>
          <w:tcPr>
            <w:tcW w:type="dxa" w:w="595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Included</w:t>
            </w:r>
          </w:p>
        </w:tc>
        <w:tc>
          <w:tcPr>
            <w:tcW w:type="dxa" w:w="294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200</w:t>
            </w:r>
          </w:p>
        </w:tc>
      </w:tr>
      <w:tr>
        <w:trPr>
          <w:cantSplit/>
        </w:trPr>
        <w:tc>
          <w:tcPr>
            <w:tcW w:type="dxa" w:w="595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Excluded</w:t>
            </w:r>
          </w:p>
        </w:tc>
        <w:tc>
          <w:tcPr>
            <w:tcW w:type="dxa" w:w="294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0</w:t>
            </w:r>
          </w:p>
        </w:tc>
      </w:tr>
      <w:tr>
        <w:trPr>
          <w:cantSplit/>
        </w:trPr>
        <w:tc>
          <w:tcPr>
            <w:tcW w:type="dxa" w:w="595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Missing analysis values</w:t>
            </w:r>
          </w:p>
        </w:tc>
        <w:tc>
          <w:tcPr>
            <w:tcW w:type="dxa" w:w="294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0</w:t>
            </w:r>
          </w:p>
        </w:tc>
      </w:tr>
      <w:tr>
        <w:trPr>
          <w:cantSplit/>
        </w:trPr>
        <w:tc>
          <w:tcPr>
            <w:tcW w:type="dxa" w:w="595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Duplicate patient identifiers</w:t>
            </w:r>
          </w:p>
        </w:tc>
        <w:tc>
          <w:tcPr>
            <w:tcW w:type="dxa" w:w="294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0</w:t>
            </w:r>
          </w:p>
        </w:tc>
      </w:tr>
      <w:tr>
        <w:trPr>
          <w:cantSplit/>
        </w:trPr>
        <w:tc>
          <w:tcPr>
            <w:tcW w:type="dxa" w:w="595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Graft failures</w:t>
            </w:r>
          </w:p>
        </w:tc>
        <w:tc>
          <w:tcPr>
            <w:tcW w:type="dxa" w:w="294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85 (42.5%)</w:t>
            </w:r>
          </w:p>
        </w:tc>
      </w:tr>
      <w:tr>
        <w:trPr>
          <w:cantSplit/>
        </w:trPr>
        <w:tc>
          <w:tcPr>
            <w:tcW w:type="dxa" w:w="595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Censored</w:t>
            </w:r>
          </w:p>
        </w:tc>
        <w:tc>
          <w:tcPr>
            <w:tcW w:type="dxa" w:w="294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115 (57.5%)</w:t>
            </w:r>
          </w:p>
        </w:tc>
      </w:tr>
    </w:tbl>
    <w:p>
      <w:pPr>
        <w:spacing w:after="0"/>
      </w:pPr>
    </w:p>
    <w:p>
      <w:pPr>
        <w:pStyle w:val="Heading1"/>
        <w:keepNext/>
      </w:pPr>
      <w:r>
        <w:t>Baseline characteristics</w:t>
      </w:r>
    </w:p>
    <w:p>
      <w:pPr>
        <w:spacing w:before="40" w:after="160"/>
        <w:jc w:val="center"/>
      </w:pPr>
      <w:r>
        <w:rPr>
          <w:rFonts w:ascii="Arial" w:hAnsi="Arial"/>
          <w:i/>
          <w:color w:val="5B6573"/>
          <w:sz w:val="17"/>
        </w:rPr>
        <w:t>Table 1. Baseline characteristics of the synthetic analysis cohort</w:t>
      </w:r>
    </w:p>
    <w:tbl>
      <w:tblPr>
        <w:tblStyle w:val="TableGrid"/>
        <w:tblW w:type="auto" w:w="0"/>
        <w:jc w:val="center"/>
        <w:tblLayout w:type="fixed"/>
        <w:tblLook w:firstColumn="1" w:firstRow="1" w:lastColumn="0" w:lastRow="0" w:noHBand="0" w:noVBand="1" w:val="04A0"/>
      </w:tblPr>
      <w:tblGrid>
        <w:gridCol w:w="3289"/>
        <w:gridCol w:w="3289"/>
        <w:gridCol w:w="3289"/>
      </w:tblGrid>
      <w:tr>
        <w:trPr>
          <w:tblHeader w:val="true"/>
          <w:cantSplit/>
        </w:trPr>
        <w:tc>
          <w:tcPr>
            <w:tcW w:type="dxa" w:w="4932"/>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Characteristic</w:t>
            </w:r>
          </w:p>
        </w:tc>
        <w:tc>
          <w:tcPr>
            <w:tcW w:type="dxa" w:w="232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Result</w:t>
            </w:r>
          </w:p>
        </w:tc>
        <w:tc>
          <w:tcPr>
            <w:tcW w:type="dxa" w:w="209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Summary form</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Total sample size</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200</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Count</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Recipient age, years</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44.1 ± 12.1</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Mean ± SD</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Cold ischemia time, hours</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7.7 (4.0-9.9)</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Median (IQR)</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BMI, kg/m²</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26.3 ± 3.8</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Mean ± SD</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Dialysis duration, months</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18.0 (10.0-28.0)</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Median (IQR)</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HLA mismatch count</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3.0 (3.0-4.0)</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Median (IQR)</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Discharge creatinine, mg/dL</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1.7 ± 0.5</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Mean ± SD</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Female</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91 (45.5%)</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Male</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109 (54.5%)</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No diabetes</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156 (78.0%)</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Diabetes</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44 (22.0%)</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Living donor</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76 (38.0%)</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Deceased donor</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124 (62.0%)</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Poor/inadequate tissue match</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81 (40.5%)</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Good tissue match</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119 (59.5%)</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No acute rejection</w:t>
            </w:r>
          </w:p>
        </w:tc>
        <w:tc>
          <w:tcPr>
            <w:tcW w:type="dxa" w:w="232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161 (80.5%)</w:t>
            </w:r>
          </w:p>
        </w:tc>
        <w:tc>
          <w:tcPr>
            <w:tcW w:type="dxa" w:w="209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r>
        <w:trPr>
          <w:cantSplit/>
        </w:trPr>
        <w:tc>
          <w:tcPr>
            <w:tcW w:type="dxa" w:w="493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Acute rejection</w:t>
            </w:r>
          </w:p>
        </w:tc>
        <w:tc>
          <w:tcPr>
            <w:tcW w:type="dxa" w:w="232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39 (19.5%)</w:t>
            </w:r>
          </w:p>
        </w:tc>
        <w:tc>
          <w:tcPr>
            <w:tcW w:type="dxa" w:w="209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 (%)</w:t>
            </w:r>
          </w:p>
        </w:tc>
      </w:tr>
    </w:tbl>
    <w:p>
      <w:pPr>
        <w:spacing w:after="0"/>
      </w:pPr>
    </w:p>
    <w:p>
      <w:pPr>
        <w:keepLines/>
      </w:pPr>
      <w:r>
        <w:t>Continuous variables were summarized as mean ± standard deviation when approximately symmetric, and as median (interquartile range) when distributional assessment supported a robust summary. Categorical variables are n (%).</w:t>
      </w:r>
    </w:p>
    <w:p>
      <w:pPr>
        <w:pStyle w:val="Heading1"/>
        <w:keepNext/>
      </w:pPr>
      <w:r>
        <w:t>Follow-up and outcome summary</w:t>
      </w:r>
    </w:p>
    <w:p>
      <w:pPr>
        <w:spacing w:before="40" w:after="160"/>
        <w:jc w:val="center"/>
      </w:pPr>
      <w:r>
        <w:rPr>
          <w:rFonts w:ascii="Arial" w:hAnsi="Arial"/>
          <w:i/>
          <w:color w:val="5B6573"/>
          <w:sz w:val="17"/>
        </w:rPr>
        <w:t>Table 2. Follow-up and graft-failure outcomes</w:t>
      </w:r>
    </w:p>
    <w:tbl>
      <w:tblPr>
        <w:tblStyle w:val="TableGrid"/>
        <w:tblW w:type="auto" w:w="0"/>
        <w:jc w:val="center"/>
        <w:tblLayout w:type="fixed"/>
        <w:tblLook w:firstColumn="1" w:firstRow="1" w:lastColumn="0" w:lastRow="0" w:noHBand="0" w:noVBand="1" w:val="04A0"/>
      </w:tblPr>
      <w:tblGrid>
        <w:gridCol w:w="4933"/>
        <w:gridCol w:w="4933"/>
      </w:tblGrid>
      <w:tr>
        <w:trPr>
          <w:tblHeader w:val="true"/>
          <w:cantSplit/>
        </w:trPr>
        <w:tc>
          <w:tcPr>
            <w:tcW w:type="dxa" w:w="5669"/>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8"/>
              </w:rPr>
              <w:t>Measure</w:t>
            </w:r>
          </w:p>
        </w:tc>
        <w:tc>
          <w:tcPr>
            <w:tcW w:type="dxa" w:w="311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8"/>
              </w:rPr>
              <w:t>Result</w:t>
            </w:r>
          </w:p>
        </w:tc>
      </w:tr>
      <w:tr>
        <w:trPr>
          <w:cantSplit/>
        </w:trPr>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Total number of patients</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200</w:t>
            </w:r>
          </w:p>
        </w:tc>
      </w:tr>
      <w:tr>
        <w:trPr>
          <w:cantSplit/>
        </w:trPr>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Graft failures</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85 (42.5%)</w:t>
            </w:r>
          </w:p>
        </w:tc>
      </w:tr>
      <w:tr>
        <w:trPr>
          <w:cantSplit/>
        </w:trPr>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Censored</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115 (57.5%)</w:t>
            </w:r>
          </w:p>
        </w:tc>
      </w:tr>
      <w:tr>
        <w:trPr>
          <w:cantSplit/>
        </w:trPr>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Median follow-up, reverse Kaplan-Meier</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41.2 months</w:t>
            </w:r>
          </w:p>
        </w:tc>
      </w:tr>
      <w:tr>
        <w:trPr>
          <w:cantSplit/>
        </w:trPr>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Follow-up IQR, reverse Kaplan-Meier</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32.2-48.3 months</w:t>
            </w:r>
          </w:p>
        </w:tc>
      </w:tr>
      <w:tr>
        <w:trPr>
          <w:cantSplit/>
        </w:trPr>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Observed follow-up range</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0.5-59.4 months</w:t>
            </w:r>
          </w:p>
        </w:tc>
      </w:tr>
      <w:tr>
        <w:trPr>
          <w:cantSplit/>
        </w:trPr>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Total person-time</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523.4 person-years</w:t>
            </w:r>
          </w:p>
        </w:tc>
      </w:tr>
      <w:tr>
        <w:trPr>
          <w:cantSplit/>
        </w:trPr>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8"/>
              </w:rPr>
              <w:t>Event rate</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8"/>
              </w:rPr>
              <w:t>16.2 per 100 person-years</w:t>
            </w:r>
          </w:p>
        </w:tc>
      </w:tr>
    </w:tbl>
    <w:p>
      <w:pPr>
        <w:spacing w:after="0"/>
      </w:pPr>
    </w:p>
    <w:p>
      <w:pPr>
        <w:keepLines/>
      </w:pPr>
      <w:r>
        <w:t>Median follow-up by reverse Kaplan–Meier was 41.2 months (95% CI 38.3–44.1).</w:t>
      </w:r>
    </w:p>
    <w:p>
      <w:pPr>
        <w:pStyle w:val="Heading1"/>
        <w:keepNext/>
      </w:pPr>
      <w:r>
        <w:t>Overall Kaplan–Meier analysis</w:t>
      </w:r>
    </w:p>
    <w:p>
      <w:pPr>
        <w:spacing w:before="40" w:after="160"/>
        <w:jc w:val="center"/>
      </w:pPr>
      <w:r>
        <w:rPr>
          <w:rFonts w:ascii="Arial" w:hAnsi="Arial"/>
          <w:i/>
          <w:color w:val="5B6573"/>
          <w:sz w:val="17"/>
        </w:rPr>
        <w:t>Table 3. Overall graft-survival estimates</w:t>
      </w:r>
    </w:p>
    <w:tbl>
      <w:tblPr>
        <w:tblStyle w:val="TableGrid"/>
        <w:tblW w:type="auto" w:w="0"/>
        <w:jc w:val="center"/>
        <w:tblLayout w:type="fixed"/>
        <w:tblLook w:firstColumn="1" w:firstRow="1" w:lastColumn="0" w:lastRow="0" w:noHBand="0" w:noVBand="1" w:val="04A0"/>
      </w:tblPr>
      <w:tblGrid>
        <w:gridCol w:w="1644"/>
        <w:gridCol w:w="1644"/>
        <w:gridCol w:w="1644"/>
        <w:gridCol w:w="1644"/>
        <w:gridCol w:w="1644"/>
        <w:gridCol w:w="1644"/>
      </w:tblGrid>
      <w:tr>
        <w:trPr>
          <w:tblHeader w:val="true"/>
          <w:cantSplit/>
        </w:trPr>
        <w:tc>
          <w:tcPr>
            <w:tcW w:type="dxa" w:w="113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Months</w:t>
            </w:r>
          </w:p>
        </w:tc>
        <w:tc>
          <w:tcPr>
            <w:tcW w:type="dxa" w:w="124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At risk</w:t>
            </w:r>
          </w:p>
        </w:tc>
        <w:tc>
          <w:tcPr>
            <w:tcW w:type="dxa" w:w="187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Cumulative events</w:t>
            </w:r>
          </w:p>
        </w:tc>
        <w:tc>
          <w:tcPr>
            <w:tcW w:type="dxa" w:w="141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Survival</w:t>
            </w:r>
          </w:p>
        </w:tc>
        <w:tc>
          <w:tcPr>
            <w:tcW w:type="dxa" w:w="158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95% CI lower</w:t>
            </w:r>
          </w:p>
        </w:tc>
        <w:tc>
          <w:tcPr>
            <w:tcW w:type="dxa" w:w="158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95% CI upper</w:t>
            </w:r>
          </w:p>
        </w:tc>
      </w:tr>
      <w:tr>
        <w:trPr>
          <w:cantSplit/>
        </w:trPr>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6</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187</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13</w:t>
            </w:r>
          </w:p>
        </w:tc>
        <w:tc>
          <w:tcPr>
            <w:tcW w:type="dxa" w:w="141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0.935</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0.891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0.962</w:t>
            </w:r>
          </w:p>
        </w:tc>
      </w:tr>
      <w:tr>
        <w:trPr>
          <w:cantSplit/>
        </w:trPr>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12</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170</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30</w:t>
            </w:r>
          </w:p>
        </w:tc>
        <w:tc>
          <w:tcPr>
            <w:tcW w:type="dxa" w:w="141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0.850</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0.793</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0.893</w:t>
            </w:r>
          </w:p>
        </w:tc>
      </w:tr>
      <w:tr>
        <w:trPr>
          <w:cantSplit/>
        </w:trPr>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24</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145</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56</w:t>
            </w:r>
          </w:p>
        </w:tc>
        <w:tc>
          <w:tcPr>
            <w:tcW w:type="dxa" w:w="141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0.720</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0.652</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0.777</w:t>
            </w:r>
          </w:p>
        </w:tc>
      </w:tr>
      <w:tr>
        <w:trPr>
          <w:cantSplit/>
        </w:trPr>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36</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82</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74</w:t>
            </w:r>
          </w:p>
        </w:tc>
        <w:tc>
          <w:tcPr>
            <w:tcW w:type="dxa" w:w="141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0.617</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0.544</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0.683</w:t>
            </w:r>
          </w:p>
        </w:tc>
      </w:tr>
    </w:tbl>
    <w:p>
      <w:pPr>
        <w:spacing w:after="0"/>
      </w:pPr>
    </w:p>
    <w:p>
      <w:pPr>
        <w:keepLines/>
      </w:pPr>
      <w:r>
        <w:t>The estimated median graft-survival time was 54.3 months (95% CI lower bound 42.4 months; upper bound not estimable). A 60-month estimate was not reported because the maximum observed follow-up was 59.4 months.</w:t>
      </w:r>
    </w:p>
    <w:p>
      <w:pPr>
        <w:keepNext/>
        <w:jc w:val="center"/>
      </w:pPr>
      <w:r>
        <w:drawing>
          <wp:inline xmlns:a="http://schemas.openxmlformats.org/drawingml/2006/main" xmlns:pic="http://schemas.openxmlformats.org/drawingml/2006/picture">
            <wp:extent cx="5989320" cy="5167640"/>
            <wp:docPr id="1" name="Picture 1"/>
            <wp:cNvGraphicFramePr>
              <a:graphicFrameLocks noChangeAspect="1"/>
            </wp:cNvGraphicFramePr>
            <a:graphic>
              <a:graphicData uri="http://schemas.openxmlformats.org/drawingml/2006/picture">
                <pic:pic>
                  <pic:nvPicPr>
                    <pic:cNvPr id="0" name="Figure_1_Kaplan_Meier.png"/>
                    <pic:cNvPicPr/>
                  </pic:nvPicPr>
                  <pic:blipFill>
                    <a:blip r:embed="rId11"/>
                    <a:stretch>
                      <a:fillRect/>
                    </a:stretch>
                  </pic:blipFill>
                  <pic:spPr>
                    <a:xfrm>
                      <a:off x="0" y="0"/>
                      <a:ext cx="5989320" cy="5167640"/>
                    </a:xfrm>
                    <a:prstGeom prst="rect"/>
                  </pic:spPr>
                </pic:pic>
              </a:graphicData>
            </a:graphic>
          </wp:inline>
        </w:drawing>
      </w:r>
    </w:p>
    <w:p>
      <w:pPr>
        <w:spacing w:before="40" w:after="160"/>
        <w:jc w:val="center"/>
      </w:pPr>
      <w:r>
        <w:rPr>
          <w:rFonts w:ascii="Arial" w:hAnsi="Arial"/>
          <w:i/>
          <w:color w:val="5B6573"/>
          <w:sz w:val="17"/>
        </w:rPr>
        <w:t>Figure 1. Overall Kaplan–Meier graft-survival curve with 95% confidence band, censoring marks, and numbers at risk.</w:t>
      </w:r>
    </w:p>
    <w:p>
      <w:pPr>
        <w:sectPr>
          <w:headerReference w:type="default" r:id="rId9"/>
          <w:footerReference w:type="default" r:id="rId10"/>
          <w:pgSz w:w="11906" w:h="16838"/>
          <w:pgMar w:top="1020" w:right="1020" w:bottom="964" w:left="1020" w:header="397" w:footer="397" w:gutter="0"/>
          <w:cols w:space="720"/>
          <w:docGrid w:linePitch="360"/>
        </w:sectPr>
      </w:pPr>
    </w:p>
    <w:p>
      <w:pPr>
        <w:pStyle w:val="Heading1"/>
        <w:keepNext/>
      </w:pPr>
      <w:r>
        <w:t>Grouped Kaplan–Meier analyses</w:t>
      </w:r>
    </w:p>
    <w:tbl>
      <w:tblPr>
        <w:tblStyle w:val="TableGrid"/>
        <w:tblW w:type="auto" w:w="0"/>
        <w:jc w:val="center"/>
        <w:tblLayout w:type="fixed"/>
        <w:tblLook w:firstColumn="1" w:firstRow="1" w:lastColumn="0" w:lastRow="0" w:noHBand="0" w:noVBand="1" w:val="04A0"/>
      </w:tblPr>
      <w:tblGrid>
        <w:gridCol w:w="2960"/>
        <w:gridCol w:w="2960"/>
        <w:gridCol w:w="2960"/>
        <w:gridCol w:w="2960"/>
        <w:gridCol w:w="2960"/>
      </w:tblGrid>
      <w:tr>
        <w:trPr>
          <w:tblHeader w:val="true"/>
          <w:cantSplit/>
        </w:trPr>
        <w:tc>
          <w:tcPr>
            <w:tcW w:type="dxa" w:w="351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Comparison</w:t>
            </w:r>
          </w:p>
        </w:tc>
        <w:tc>
          <w:tcPr>
            <w:tcW w:type="dxa" w:w="5669"/>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Groups</w:t>
            </w:r>
          </w:p>
        </w:tc>
        <w:tc>
          <w:tcPr>
            <w:tcW w:type="dxa" w:w="181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Log-rank χ²</w:t>
            </w:r>
          </w:p>
        </w:tc>
        <w:tc>
          <w:tcPr>
            <w:tcW w:type="dxa" w:w="90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df</w:t>
            </w:r>
          </w:p>
        </w:tc>
        <w:tc>
          <w:tcPr>
            <w:tcW w:type="dxa" w:w="136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P value</w:t>
            </w:r>
          </w:p>
        </w:tc>
      </w:tr>
      <w:tr>
        <w:trPr>
          <w:cantSplit/>
        </w:trPr>
        <w:tc>
          <w:tcPr>
            <w:tcW w:type="dxa" w:w="351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Male vs female</w:t>
            </w:r>
          </w:p>
        </w:tc>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Female: n=91, events=38; Male: n=109, events=47</w:t>
            </w:r>
          </w:p>
        </w:tc>
        <w:tc>
          <w:tcPr>
            <w:tcW w:type="dxa" w:w="181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0.002</w:t>
            </w:r>
          </w:p>
        </w:tc>
        <w:tc>
          <w:tcPr>
            <w:tcW w:type="dxa" w:w="90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36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0.968</w:t>
            </w:r>
          </w:p>
        </w:tc>
      </w:tr>
      <w:tr>
        <w:trPr>
          <w:cantSplit/>
        </w:trPr>
        <w:tc>
          <w:tcPr>
            <w:tcW w:type="dxa" w:w="351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Diabetes vs no diabetes</w:t>
            </w:r>
          </w:p>
        </w:tc>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No diabetes: n=156, events=60; Diabetes: n=44, events=25</w:t>
            </w:r>
          </w:p>
        </w:tc>
        <w:tc>
          <w:tcPr>
            <w:tcW w:type="dxa" w:w="181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9.485</w:t>
            </w:r>
          </w:p>
        </w:tc>
        <w:tc>
          <w:tcPr>
            <w:tcW w:type="dxa" w:w="90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36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0.002</w:t>
            </w:r>
          </w:p>
        </w:tc>
      </w:tr>
      <w:tr>
        <w:trPr>
          <w:cantSplit/>
        </w:trPr>
        <w:tc>
          <w:tcPr>
            <w:tcW w:type="dxa" w:w="351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Deceased vs living donor</w:t>
            </w:r>
          </w:p>
        </w:tc>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Living donor: n=76, events=19; Deceased donor: n=124, events=66</w:t>
            </w:r>
          </w:p>
        </w:tc>
        <w:tc>
          <w:tcPr>
            <w:tcW w:type="dxa" w:w="181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15.097</w:t>
            </w:r>
          </w:p>
        </w:tc>
        <w:tc>
          <w:tcPr>
            <w:tcW w:type="dxa" w:w="90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36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&lt;.001</w:t>
            </w:r>
          </w:p>
        </w:tc>
      </w:tr>
      <w:tr>
        <w:trPr>
          <w:cantSplit/>
        </w:trPr>
        <w:tc>
          <w:tcPr>
            <w:tcW w:type="dxa" w:w="351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Good vs poor/inadequate tissue match</w:t>
            </w:r>
          </w:p>
        </w:tc>
        <w:tc>
          <w:tcPr>
            <w:tcW w:type="dxa" w:w="566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Poor/inadequate: n=81, events=39; Good: n=119, events=46</w:t>
            </w:r>
          </w:p>
        </w:tc>
        <w:tc>
          <w:tcPr>
            <w:tcW w:type="dxa" w:w="181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3.072</w:t>
            </w:r>
          </w:p>
        </w:tc>
        <w:tc>
          <w:tcPr>
            <w:tcW w:type="dxa" w:w="90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36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0.080</w:t>
            </w:r>
          </w:p>
        </w:tc>
      </w:tr>
      <w:tr>
        <w:trPr>
          <w:cantSplit/>
        </w:trPr>
        <w:tc>
          <w:tcPr>
            <w:tcW w:type="dxa" w:w="351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Acute rejection vs none</w:t>
            </w:r>
          </w:p>
        </w:tc>
        <w:tc>
          <w:tcPr>
            <w:tcW w:type="dxa" w:w="566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No acute rejection: n=161, events=60; Acute rejection: n=39, events=25</w:t>
            </w:r>
          </w:p>
        </w:tc>
        <w:tc>
          <w:tcPr>
            <w:tcW w:type="dxa" w:w="181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11.661</w:t>
            </w:r>
          </w:p>
        </w:tc>
        <w:tc>
          <w:tcPr>
            <w:tcW w:type="dxa" w:w="90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36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&lt;.001</w:t>
            </w:r>
          </w:p>
        </w:tc>
      </w:tr>
    </w:tbl>
    <w:p>
      <w:pPr>
        <w:spacing w:after="0"/>
      </w:pPr>
    </w:p>
    <w:p>
      <w:pPr>
        <w:keepNext/>
        <w:jc w:val="center"/>
      </w:pPr>
      <w:r>
        <w:drawing>
          <wp:inline xmlns:a="http://schemas.openxmlformats.org/drawingml/2006/main" xmlns:pic="http://schemas.openxmlformats.org/drawingml/2006/picture">
            <wp:extent cx="4572000" cy="6086730"/>
            <wp:docPr id="2" name="Picture 2"/>
            <wp:cNvGraphicFramePr>
              <a:graphicFrameLocks noChangeAspect="1"/>
            </wp:cNvGraphicFramePr>
            <a:graphic>
              <a:graphicData uri="http://schemas.openxmlformats.org/drawingml/2006/picture">
                <pic:pic>
                  <pic:nvPicPr>
                    <pic:cNvPr id="0" name="Grouped_Kaplan_Meier.png"/>
                    <pic:cNvPicPr/>
                  </pic:nvPicPr>
                  <pic:blipFill>
                    <a:blip r:embed="rId14"/>
                    <a:stretch>
                      <a:fillRect/>
                    </a:stretch>
                  </pic:blipFill>
                  <pic:spPr>
                    <a:xfrm>
                      <a:off x="0" y="0"/>
                      <a:ext cx="4572000" cy="6086730"/>
                    </a:xfrm>
                    <a:prstGeom prst="rect"/>
                  </pic:spPr>
                </pic:pic>
              </a:graphicData>
            </a:graphic>
          </wp:inline>
        </w:drawing>
      </w:r>
    </w:p>
    <w:p>
      <w:pPr>
        <w:spacing w:before="40" w:after="160"/>
        <w:jc w:val="center"/>
      </w:pPr>
      <w:r>
        <w:rPr>
          <w:rFonts w:ascii="Arial" w:hAnsi="Arial"/>
          <w:i/>
          <w:color w:val="5B6573"/>
          <w:sz w:val="17"/>
        </w:rPr>
        <w:t>Grouped Kaplan–Meier curves for the prespecified categorical predictors; P values are from two-sided log-rank tests.</w:t>
      </w:r>
    </w:p>
    <w:p>
      <w:pPr>
        <w:pStyle w:val="Heading1"/>
        <w:keepNext/>
      </w:pPr>
      <w:r>
        <w:t>Univariable Cox regression</w:t>
      </w:r>
    </w:p>
    <w:p>
      <w:pPr>
        <w:spacing w:before="40" w:after="160"/>
        <w:jc w:val="center"/>
      </w:pPr>
      <w:r>
        <w:rPr>
          <w:rFonts w:ascii="Arial" w:hAnsi="Arial"/>
          <w:i/>
          <w:color w:val="5B6573"/>
          <w:sz w:val="17"/>
        </w:rPr>
        <w:t>Table 4. Univariable Cox proportional hazards models</w:t>
      </w:r>
    </w:p>
    <w:tbl>
      <w:tblPr>
        <w:tblStyle w:val="TableGrid"/>
        <w:tblW w:type="auto" w:w="0"/>
        <w:jc w:val="center"/>
        <w:tblLayout w:type="fixed"/>
        <w:tblLook w:firstColumn="1" w:firstRow="1" w:lastColumn="0" w:lastRow="0" w:noHBand="0" w:noVBand="1" w:val="04A0"/>
      </w:tblPr>
      <w:tblGrid>
        <w:gridCol w:w="2114"/>
        <w:gridCol w:w="2114"/>
        <w:gridCol w:w="2114"/>
        <w:gridCol w:w="2114"/>
        <w:gridCol w:w="2114"/>
        <w:gridCol w:w="2114"/>
        <w:gridCol w:w="2114"/>
      </w:tblGrid>
      <w:tr>
        <w:trPr>
          <w:tblHeader w:val="true"/>
          <w:cantSplit/>
        </w:trPr>
        <w:tc>
          <w:tcPr>
            <w:tcW w:type="dxa" w:w="419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5"/>
              </w:rPr>
              <w:t>Predictor</w:t>
            </w:r>
          </w:p>
        </w:tc>
        <w:tc>
          <w:tcPr>
            <w:tcW w:type="dxa" w:w="93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B</w:t>
            </w:r>
          </w:p>
        </w:tc>
        <w:tc>
          <w:tcPr>
            <w:tcW w:type="dxa" w:w="93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SE</w:t>
            </w:r>
          </w:p>
        </w:tc>
        <w:tc>
          <w:tcPr>
            <w:tcW w:type="dxa" w:w="107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Wald</w:t>
            </w:r>
          </w:p>
        </w:tc>
        <w:tc>
          <w:tcPr>
            <w:tcW w:type="dxa" w:w="96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P value</w:t>
            </w:r>
          </w:p>
        </w:tc>
        <w:tc>
          <w:tcPr>
            <w:tcW w:type="dxa" w:w="113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Crude HR</w:t>
            </w:r>
          </w:p>
        </w:tc>
        <w:tc>
          <w:tcPr>
            <w:tcW w:type="dxa" w:w="187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5"/>
              </w:rPr>
              <w:t>95% CI</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Recipient age, per 10-year increase</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0.031</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0.091</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0.115</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0.735</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1.031</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0.863–1.232</w:t>
            </w:r>
          </w:p>
        </w:tc>
      </w:tr>
      <w:tr>
        <w:trPr>
          <w:cantSplit/>
        </w:trPr>
        <w:tc>
          <w:tcPr>
            <w:tcW w:type="dxa" w:w="419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Male vs female</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0.009</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0.218</w:t>
            </w:r>
          </w:p>
        </w:tc>
        <w:tc>
          <w:tcPr>
            <w:tcW w:type="dxa" w:w="107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0.002</w:t>
            </w:r>
          </w:p>
        </w:tc>
        <w:tc>
          <w:tcPr>
            <w:tcW w:type="dxa" w:w="96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0.968</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1.009</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0.658–1.547</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Diabetes vs no diabetes</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0.732</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0.243</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9.068</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0.003</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2.080</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1.291–3.350</w:t>
            </w:r>
          </w:p>
        </w:tc>
      </w:tr>
      <w:tr>
        <w:trPr>
          <w:cantSplit/>
        </w:trPr>
        <w:tc>
          <w:tcPr>
            <w:tcW w:type="dxa" w:w="419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Deceased vs living donor</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0.975</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0.261</w:t>
            </w:r>
          </w:p>
        </w:tc>
        <w:tc>
          <w:tcPr>
            <w:tcW w:type="dxa" w:w="107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13.965</w:t>
            </w:r>
          </w:p>
        </w:tc>
        <w:tc>
          <w:tcPr>
            <w:tcW w:type="dxa" w:w="96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&lt;.001</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2.650</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1.589–4.418</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Good vs poor/inadequate tissue match</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-0.381</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0.219</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3.038</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0.081</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0.683</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0.445–1.049</w:t>
            </w:r>
          </w:p>
        </w:tc>
      </w:tr>
      <w:tr>
        <w:trPr>
          <w:cantSplit/>
        </w:trPr>
        <w:tc>
          <w:tcPr>
            <w:tcW w:type="dxa" w:w="419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Acute rejection vs none</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0.799</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0.240</w:t>
            </w:r>
          </w:p>
        </w:tc>
        <w:tc>
          <w:tcPr>
            <w:tcW w:type="dxa" w:w="107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11.042</w:t>
            </w:r>
          </w:p>
        </w:tc>
        <w:tc>
          <w:tcPr>
            <w:tcW w:type="dxa" w:w="96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&lt;.001</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2.223</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1.388–3.560</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Cold ischemia time, per 1-hour increase</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0.114</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0.030</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14.450</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&lt;.001</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1.121</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1.057–1.189</w:t>
            </w:r>
          </w:p>
        </w:tc>
      </w:tr>
      <w:tr>
        <w:trPr>
          <w:cantSplit/>
        </w:trPr>
        <w:tc>
          <w:tcPr>
            <w:tcW w:type="dxa" w:w="419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BMI, per 1 kg/m² increase</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0.015</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0.029</w:t>
            </w:r>
          </w:p>
        </w:tc>
        <w:tc>
          <w:tcPr>
            <w:tcW w:type="dxa" w:w="107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0.249</w:t>
            </w:r>
          </w:p>
        </w:tc>
        <w:tc>
          <w:tcPr>
            <w:tcW w:type="dxa" w:w="96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0.618</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1.015</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0.958–1.075</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Dialysis duration, per 12-month increase</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0.032</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0.095</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0.117</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0.733</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1.033</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0.858–1.243</w:t>
            </w:r>
          </w:p>
        </w:tc>
      </w:tr>
      <w:tr>
        <w:trPr>
          <w:cantSplit/>
        </w:trPr>
        <w:tc>
          <w:tcPr>
            <w:tcW w:type="dxa" w:w="419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HLA mismatch count, per 1 mismatch</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0.088</w:t>
            </w:r>
          </w:p>
        </w:tc>
        <w:tc>
          <w:tcPr>
            <w:tcW w:type="dxa" w:w="9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0.090</w:t>
            </w:r>
          </w:p>
        </w:tc>
        <w:tc>
          <w:tcPr>
            <w:tcW w:type="dxa" w:w="107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0.957</w:t>
            </w:r>
          </w:p>
        </w:tc>
        <w:tc>
          <w:tcPr>
            <w:tcW w:type="dxa" w:w="96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0.328</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1.092</w:t>
            </w:r>
          </w:p>
        </w:tc>
        <w:tc>
          <w:tcPr>
            <w:tcW w:type="dxa" w:w="187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0.915–1.304</w:t>
            </w:r>
          </w:p>
        </w:tc>
      </w:tr>
      <w:tr>
        <w:trPr>
          <w:cantSplit/>
        </w:trPr>
        <w:tc>
          <w:tcPr>
            <w:tcW w:type="dxa" w:w="419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5"/>
              </w:rPr>
              <w:t>Discharge creatinine, per 1 mg/dL increase</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0.597</w:t>
            </w:r>
          </w:p>
        </w:tc>
        <w:tc>
          <w:tcPr>
            <w:tcW w:type="dxa" w:w="9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0.247</w:t>
            </w:r>
          </w:p>
        </w:tc>
        <w:tc>
          <w:tcPr>
            <w:tcW w:type="dxa" w:w="107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5.851</w:t>
            </w:r>
          </w:p>
        </w:tc>
        <w:tc>
          <w:tcPr>
            <w:tcW w:type="dxa" w:w="96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0.016</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1.817</w:t>
            </w:r>
          </w:p>
        </w:tc>
        <w:tc>
          <w:tcPr>
            <w:tcW w:type="dxa" w:w="187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5"/>
              </w:rPr>
              <w:t>1.120–2.946</w:t>
            </w:r>
          </w:p>
        </w:tc>
      </w:tr>
    </w:tbl>
    <w:p>
      <w:pPr>
        <w:spacing w:after="0"/>
      </w:pPr>
    </w:p>
    <w:p>
      <w:pPr>
        <w:keepLines/>
      </w:pPr>
      <w:r>
        <w:t>Hazard ratios greater than 1 indicate a higher hazard of graft failure. For categorical predictors, the comparison category appears first in the predictor label and the reference category appears second.</w:t>
      </w:r>
    </w:p>
    <w:p>
      <w:r>
        <w:br w:type="page"/>
      </w:r>
    </w:p>
    <w:p>
      <w:pPr>
        <w:pStyle w:val="Heading1"/>
        <w:keepNext/>
      </w:pPr>
      <w:r>
        <w:t>Multivariable Cox regression</w:t>
      </w:r>
    </w:p>
    <w:p>
      <w:pPr>
        <w:spacing w:before="40" w:after="160"/>
        <w:jc w:val="center"/>
      </w:pPr>
      <w:r>
        <w:rPr>
          <w:rFonts w:ascii="Arial" w:hAnsi="Arial"/>
          <w:i/>
          <w:color w:val="5B6573"/>
          <w:sz w:val="17"/>
        </w:rPr>
        <w:t>Variables in the Equation</w:t>
      </w:r>
    </w:p>
    <w:tbl>
      <w:tblPr>
        <w:tblStyle w:val="TableGrid"/>
        <w:tblW w:type="auto" w:w="0"/>
        <w:jc w:val="center"/>
        <w:tblLayout w:type="fixed"/>
        <w:tblLook w:firstColumn="1" w:firstRow="1" w:lastColumn="0" w:lastRow="0" w:noHBand="0" w:noVBand="1" w:val="04A0"/>
      </w:tblPr>
      <w:tblGrid>
        <w:gridCol w:w="1644"/>
        <w:gridCol w:w="1644"/>
        <w:gridCol w:w="1644"/>
        <w:gridCol w:w="1644"/>
        <w:gridCol w:w="1644"/>
        <w:gridCol w:w="1644"/>
        <w:gridCol w:w="1644"/>
        <w:gridCol w:w="1644"/>
        <w:gridCol w:w="1644"/>
      </w:tblGrid>
      <w:tr>
        <w:trPr>
          <w:tblHeader w:val="true"/>
          <w:cantSplit/>
        </w:trPr>
        <w:tc>
          <w:tcPr>
            <w:tcW w:type="dxa" w:w="311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4"/>
              </w:rPr>
              <w:t>Variable</w:t>
            </w:r>
          </w:p>
        </w:tc>
        <w:tc>
          <w:tcPr>
            <w:tcW w:type="dxa" w:w="879"/>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B</w:t>
            </w:r>
          </w:p>
        </w:tc>
        <w:tc>
          <w:tcPr>
            <w:tcW w:type="dxa" w:w="879"/>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SE</w:t>
            </w:r>
          </w:p>
        </w:tc>
        <w:tc>
          <w:tcPr>
            <w:tcW w:type="dxa" w:w="992"/>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Wald</w:t>
            </w:r>
          </w:p>
        </w:tc>
        <w:tc>
          <w:tcPr>
            <w:tcW w:type="dxa" w:w="652"/>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df</w:t>
            </w:r>
          </w:p>
        </w:tc>
        <w:tc>
          <w:tcPr>
            <w:tcW w:type="dxa" w:w="822"/>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Sig.</w:t>
            </w:r>
          </w:p>
        </w:tc>
        <w:tc>
          <w:tcPr>
            <w:tcW w:type="dxa" w:w="1020"/>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Exp(B)</w:t>
            </w:r>
          </w:p>
        </w:tc>
        <w:tc>
          <w:tcPr>
            <w:tcW w:type="dxa" w:w="175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95.0% CI for Exp(B) Lower</w:t>
            </w:r>
          </w:p>
        </w:tc>
        <w:tc>
          <w:tcPr>
            <w:tcW w:type="dxa" w:w="175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4"/>
              </w:rPr>
              <w:t>95.0% CI for Exp(B) Upper</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Recipient_Age (per 10 years)</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0.079</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0.097</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0.668</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0.414</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1.083</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0.895</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1.309</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Sex(1)</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0.240</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0.235</w:t>
            </w:r>
          </w:p>
        </w:tc>
        <w:tc>
          <w:tcPr>
            <w:tcW w:type="dxa" w:w="99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1.048</w:t>
            </w:r>
          </w:p>
        </w:tc>
        <w:tc>
          <w:tcPr>
            <w:tcW w:type="dxa" w:w="65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0.306</w:t>
            </w:r>
          </w:p>
        </w:tc>
        <w:tc>
          <w:tcPr>
            <w:tcW w:type="dxa" w:w="10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1.272</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0.803</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2.015</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Diabetes(1)</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0.544</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0.251</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4.701</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0.030</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1.723</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1.054</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2.819</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Deceased_Donor(1)</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0.455</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0.403</w:t>
            </w:r>
          </w:p>
        </w:tc>
        <w:tc>
          <w:tcPr>
            <w:tcW w:type="dxa" w:w="99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1.273</w:t>
            </w:r>
          </w:p>
        </w:tc>
        <w:tc>
          <w:tcPr>
            <w:tcW w:type="dxa" w:w="65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0.259</w:t>
            </w:r>
          </w:p>
        </w:tc>
        <w:tc>
          <w:tcPr>
            <w:tcW w:type="dxa" w:w="10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1.577</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0.715</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3.476</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Good_Tissue_Match(1)</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-0.305</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0.261</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1.361</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0.243</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0.737</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0.442</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1.231</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Acute_Rejection(1)</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0.711</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0.261</w:t>
            </w:r>
          </w:p>
        </w:tc>
        <w:tc>
          <w:tcPr>
            <w:tcW w:type="dxa" w:w="99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7.393</w:t>
            </w:r>
          </w:p>
        </w:tc>
        <w:tc>
          <w:tcPr>
            <w:tcW w:type="dxa" w:w="65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0.007</w:t>
            </w:r>
          </w:p>
        </w:tc>
        <w:tc>
          <w:tcPr>
            <w:tcW w:type="dxa" w:w="10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2.035</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1.219</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3.397</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Cold_Ischemia_Hours</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0.073</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0.052</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2.013</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0.156</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1.076</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0.972</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1.191</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BMI</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-0.008</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0.031</w:t>
            </w:r>
          </w:p>
        </w:tc>
        <w:tc>
          <w:tcPr>
            <w:tcW w:type="dxa" w:w="99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0.070</w:t>
            </w:r>
          </w:p>
        </w:tc>
        <w:tc>
          <w:tcPr>
            <w:tcW w:type="dxa" w:w="65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0.792</w:t>
            </w:r>
          </w:p>
        </w:tc>
        <w:tc>
          <w:tcPr>
            <w:tcW w:type="dxa" w:w="10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0.992</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0.933</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1.054</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Dialysis_Duration (per 12 months)</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0.026</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0.094</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0.078</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0.781</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1.027</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0.854</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1.234</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HLA_Mismatch_Count</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-0.012</w:t>
            </w:r>
          </w:p>
        </w:tc>
        <w:tc>
          <w:tcPr>
            <w:tcW w:type="dxa" w:w="87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0.109</w:t>
            </w:r>
          </w:p>
        </w:tc>
        <w:tc>
          <w:tcPr>
            <w:tcW w:type="dxa" w:w="99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0.012</w:t>
            </w:r>
          </w:p>
        </w:tc>
        <w:tc>
          <w:tcPr>
            <w:tcW w:type="dxa" w:w="65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0.914</w:t>
            </w:r>
          </w:p>
        </w:tc>
        <w:tc>
          <w:tcPr>
            <w:tcW w:type="dxa" w:w="10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0.988</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0.799</w:t>
            </w:r>
          </w:p>
        </w:tc>
        <w:tc>
          <w:tcPr>
            <w:tcW w:type="dxa" w:w="175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1.223</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4"/>
              </w:rPr>
              <w:t>Discharge_Creatinine_mg_dL</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0.330</w:t>
            </w:r>
          </w:p>
        </w:tc>
        <w:tc>
          <w:tcPr>
            <w:tcW w:type="dxa" w:w="87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0.267</w:t>
            </w:r>
          </w:p>
        </w:tc>
        <w:tc>
          <w:tcPr>
            <w:tcW w:type="dxa" w:w="99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1.536</w:t>
            </w:r>
          </w:p>
        </w:tc>
        <w:tc>
          <w:tcPr>
            <w:tcW w:type="dxa" w:w="65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w:t>
            </w:r>
          </w:p>
        </w:tc>
        <w:tc>
          <w:tcPr>
            <w:tcW w:type="dxa" w:w="822"/>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0.215</w:t>
            </w:r>
          </w:p>
        </w:tc>
        <w:tc>
          <w:tcPr>
            <w:tcW w:type="dxa" w:w="10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1.391</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0.825</w:t>
            </w:r>
          </w:p>
        </w:tc>
        <w:tc>
          <w:tcPr>
            <w:tcW w:type="dxa" w:w="175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4"/>
              </w:rPr>
              <w:t>2.346</w:t>
            </w:r>
          </w:p>
        </w:tc>
      </w:tr>
    </w:tbl>
    <w:p>
      <w:pPr>
        <w:spacing w:after="0"/>
      </w:pPr>
    </w:p>
    <w:p>
      <w:pPr>
        <w:keepLines/>
      </w:pPr>
      <w:r>
        <w:t>Reference categories: Sex(1) = male versus female; Diabetes(1) = yes versus no; Deceased_Donor(1) = deceased versus living; Good_Tissue_Match(1) = good versus poor/inadequate; Acute_Rejection(1) = yes versus no. Efron method was used for ties.</w:t>
      </w:r>
    </w:p>
    <w:tbl>
      <w:tblPr>
        <w:tblW w:type="auto" w:w="0"/>
        <w:jc w:val="center"/>
        <w:tblLook w:firstColumn="1" w:firstRow="1" w:lastColumn="0" w:lastRow="0" w:noHBand="0" w:noVBand="1" w:val="04A0"/>
      </w:tblPr>
      <w:tblGrid>
        <w:gridCol w:w="14798"/>
      </w:tblGrid>
      <w:tr>
        <w:tc>
          <w:tcPr>
            <w:tcW w:type="dxa" w:w="14798"/>
            <w:shd w:fill="EDF3F8"/>
            <w:tcBorders>
              <w:top w:val="single" w:sz="8" w:space="0" w:color="1F4E78"/>
              <w:left w:val="single" w:sz="8" w:space="0" w:color="1F4E78"/>
              <w:bottom w:val="single" w:sz="8" w:space="0" w:color="1F4E78"/>
              <w:right w:val="single" w:sz="8" w:space="0" w:color="1F4E78"/>
              <w:insideH w:val="single" w:sz="8" w:space="0" w:color="1F4E78"/>
              <w:insideV w:val="single" w:sz="8" w:space="0" w:color="1F4E78"/>
            </w:tcBorders>
            <w:vAlign w:val="center"/>
          </w:tcPr>
          <w:p>
            <w:pPr>
              <w:spacing w:after="0" w:before="0"/>
              <w:jc w:val="left"/>
            </w:pPr>
            <w:r/>
            <w:r>
              <w:rPr>
                <w:rFonts w:ascii="Arial" w:hAnsi="Arial"/>
                <w:b w:val="0"/>
                <w:color w:val="5B6573"/>
                <w:sz w:val="18"/>
              </w:rPr>
              <w:t>HR = Exp(B) = e^β</w:t>
            </w:r>
          </w:p>
        </w:tc>
      </w:tr>
    </w:tbl>
    <w:p>
      <w:pPr>
        <w:spacing w:after="0"/>
      </w:pPr>
    </w:p>
    <w:p>
      <w:pPr>
        <w:sectPr>
          <w:headerReference w:type="default" r:id="rId12"/>
          <w:footerReference w:type="default" r:id="rId13"/>
          <w:pgSz w:w="16838" w:h="11906" w:orient="landscape"/>
          <w:pgMar w:top="1020" w:right="1020" w:bottom="964" w:left="1020" w:header="397" w:footer="397" w:gutter="0"/>
          <w:cols w:space="720"/>
          <w:docGrid w:linePitch="360"/>
        </w:sectPr>
      </w:pPr>
    </w:p>
    <w:p>
      <w:pPr>
        <w:pStyle w:val="Heading1"/>
        <w:keepNext/>
      </w:pPr>
      <w:r>
        <w:t>Model performance</w:t>
      </w:r>
    </w:p>
    <w:p>
      <w:pPr>
        <w:spacing w:before="40" w:after="160"/>
        <w:jc w:val="center"/>
      </w:pPr>
      <w:r>
        <w:rPr>
          <w:rFonts w:ascii="Arial" w:hAnsi="Arial"/>
          <w:i/>
          <w:color w:val="5B6573"/>
          <w:sz w:val="17"/>
        </w:rPr>
        <w:t>Table 6. Overall model performance</w:t>
      </w:r>
    </w:p>
    <w:tbl>
      <w:tblPr>
        <w:tblStyle w:val="TableGrid"/>
        <w:tblW w:type="auto" w:w="0"/>
        <w:jc w:val="center"/>
        <w:tblLayout w:type="fixed"/>
        <w:tblLook w:firstColumn="1" w:firstRow="1" w:lastColumn="0" w:lastRow="0" w:noHBand="0" w:noVBand="1" w:val="04A0"/>
      </w:tblPr>
      <w:tblGrid>
        <w:gridCol w:w="2466"/>
        <w:gridCol w:w="2466"/>
        <w:gridCol w:w="2466"/>
        <w:gridCol w:w="2466"/>
      </w:tblGrid>
      <w:tr>
        <w:trPr>
          <w:tblHeader w:val="true"/>
          <w:cantSplit/>
        </w:trPr>
        <w:tc>
          <w:tcPr>
            <w:tcW w:type="dxa" w:w="4309"/>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Statistic</w:t>
            </w:r>
          </w:p>
        </w:tc>
        <w:tc>
          <w:tcPr>
            <w:tcW w:type="dxa" w:w="323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Value</w:t>
            </w:r>
          </w:p>
        </w:tc>
        <w:tc>
          <w:tcPr>
            <w:tcW w:type="dxa" w:w="850"/>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df</w:t>
            </w:r>
          </w:p>
        </w:tc>
        <w:tc>
          <w:tcPr>
            <w:tcW w:type="dxa" w:w="124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P value</w:t>
            </w:r>
          </w:p>
        </w:tc>
      </w:tr>
      <w:tr>
        <w:trPr>
          <w:cantSplit/>
        </w:trPr>
        <w:tc>
          <w:tcPr>
            <w:tcW w:type="dxa" w:w="430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Likelihood-ratio test</w:t>
            </w:r>
          </w:p>
        </w:tc>
        <w:tc>
          <w:tcPr>
            <w:tcW w:type="dxa" w:w="323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36.761</w:t>
            </w:r>
          </w:p>
        </w:tc>
        <w:tc>
          <w:tcPr>
            <w:tcW w:type="dxa" w:w="85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&lt;.001</w:t>
            </w:r>
          </w:p>
        </w:tc>
      </w:tr>
      <w:tr>
        <w:trPr>
          <w:cantSplit/>
        </w:trPr>
        <w:tc>
          <w:tcPr>
            <w:tcW w:type="dxa" w:w="430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Score test</w:t>
            </w:r>
          </w:p>
        </w:tc>
        <w:tc>
          <w:tcPr>
            <w:tcW w:type="dxa" w:w="323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37.597</w:t>
            </w:r>
          </w:p>
        </w:tc>
        <w:tc>
          <w:tcPr>
            <w:tcW w:type="dxa" w:w="85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&lt;.001</w:t>
            </w:r>
          </w:p>
        </w:tc>
      </w:tr>
      <w:tr>
        <w:trPr>
          <w:cantSplit/>
        </w:trPr>
        <w:tc>
          <w:tcPr>
            <w:tcW w:type="dxa" w:w="430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Global Wald test</w:t>
            </w:r>
          </w:p>
        </w:tc>
        <w:tc>
          <w:tcPr>
            <w:tcW w:type="dxa" w:w="323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35.119</w:t>
            </w:r>
          </w:p>
        </w:tc>
        <w:tc>
          <w:tcPr>
            <w:tcW w:type="dxa" w:w="85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&lt;.001</w:t>
            </w:r>
          </w:p>
        </w:tc>
      </w:tr>
      <w:tr>
        <w:trPr>
          <w:cantSplit/>
        </w:trPr>
        <w:tc>
          <w:tcPr>
            <w:tcW w:type="dxa" w:w="430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Partial log-likelihood</w:t>
            </w:r>
          </w:p>
        </w:tc>
        <w:tc>
          <w:tcPr>
            <w:tcW w:type="dxa" w:w="323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-396.152</w:t>
            </w:r>
          </w:p>
        </w:tc>
        <w:tc>
          <w:tcPr>
            <w:tcW w:type="dxa" w:w="85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r>
      <w:tr>
        <w:trPr>
          <w:cantSplit/>
        </w:trPr>
        <w:tc>
          <w:tcPr>
            <w:tcW w:type="dxa" w:w="430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-2 log-likelihood</w:t>
            </w:r>
          </w:p>
        </w:tc>
        <w:tc>
          <w:tcPr>
            <w:tcW w:type="dxa" w:w="323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792.304</w:t>
            </w:r>
          </w:p>
        </w:tc>
        <w:tc>
          <w:tcPr>
            <w:tcW w:type="dxa" w:w="85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r>
      <w:tr>
        <w:trPr>
          <w:cantSplit/>
        </w:trPr>
        <w:tc>
          <w:tcPr>
            <w:tcW w:type="dxa" w:w="430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AIC</w:t>
            </w:r>
          </w:p>
        </w:tc>
        <w:tc>
          <w:tcPr>
            <w:tcW w:type="dxa" w:w="323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814.304</w:t>
            </w:r>
          </w:p>
        </w:tc>
        <w:tc>
          <w:tcPr>
            <w:tcW w:type="dxa" w:w="85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r>
      <w:tr>
        <w:trPr>
          <w:cantSplit/>
        </w:trPr>
        <w:tc>
          <w:tcPr>
            <w:tcW w:type="dxa" w:w="4309"/>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BIC (event-based)</w:t>
            </w:r>
          </w:p>
        </w:tc>
        <w:tc>
          <w:tcPr>
            <w:tcW w:type="dxa" w:w="323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841.173</w:t>
            </w:r>
          </w:p>
        </w:tc>
        <w:tc>
          <w:tcPr>
            <w:tcW w:type="dxa" w:w="85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c>
          <w:tcPr>
            <w:tcW w:type="dxa" w:w="124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r>
      <w:tr>
        <w:trPr>
          <w:cantSplit/>
        </w:trPr>
        <w:tc>
          <w:tcPr>
            <w:tcW w:type="dxa" w:w="4309"/>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Harrell C-index</w:t>
            </w:r>
          </w:p>
        </w:tc>
        <w:tc>
          <w:tcPr>
            <w:tcW w:type="dxa" w:w="323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0.675 (bootstrap 95% CI 0.617–0.734)</w:t>
            </w:r>
          </w:p>
        </w:tc>
        <w:tc>
          <w:tcPr>
            <w:tcW w:type="dxa" w:w="85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c>
          <w:tcPr>
            <w:tcW w:type="dxa" w:w="124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w:t>
            </w:r>
          </w:p>
        </w:tc>
      </w:tr>
    </w:tbl>
    <w:p>
      <w:pPr>
        <w:spacing w:after="0"/>
      </w:pPr>
    </w:p>
    <w:p>
      <w:pPr>
        <w:keepLines/>
      </w:pPr>
      <w:r>
        <w:t>The adjusted model included 11 parameters and 85 events (7.7 events per parameter). The model converged successfully.</w:t>
      </w:r>
    </w:p>
    <w:p>
      <w:pPr>
        <w:sectPr>
          <w:headerReference w:type="default" r:id="rId15"/>
          <w:footerReference w:type="default" r:id="rId16"/>
          <w:pgSz w:w="11906" w:h="16838"/>
          <w:pgMar w:top="1020" w:right="1020" w:bottom="964" w:left="1020" w:header="397" w:footer="397" w:gutter="0"/>
          <w:cols w:space="720"/>
          <w:docGrid w:linePitch="360"/>
        </w:sectPr>
      </w:pPr>
    </w:p>
    <w:p>
      <w:pPr>
        <w:pStyle w:val="Heading1"/>
        <w:keepNext/>
      </w:pPr>
      <w:r>
        <w:t>Proportional hazards assessment</w:t>
      </w:r>
    </w:p>
    <w:p>
      <w:pPr>
        <w:spacing w:before="40" w:after="160"/>
        <w:jc w:val="center"/>
      </w:pPr>
      <w:r>
        <w:rPr>
          <w:rFonts w:ascii="Arial" w:hAnsi="Arial"/>
          <w:i/>
          <w:color w:val="5B6573"/>
          <w:sz w:val="17"/>
        </w:rPr>
        <w:t>Table 7. Proportional hazards tests based on scaled Schoenfeld residuals</w:t>
      </w:r>
    </w:p>
    <w:tbl>
      <w:tblPr>
        <w:tblStyle w:val="TableGrid"/>
        <w:tblW w:type="auto" w:w="0"/>
        <w:jc w:val="center"/>
        <w:tblLayout w:type="fixed"/>
        <w:tblLook w:firstColumn="1" w:firstRow="1" w:lastColumn="0" w:lastRow="0" w:noHBand="0" w:noVBand="1" w:val="04A0"/>
      </w:tblPr>
      <w:tblGrid>
        <w:gridCol w:w="2960"/>
        <w:gridCol w:w="2960"/>
        <w:gridCol w:w="2960"/>
        <w:gridCol w:w="2960"/>
        <w:gridCol w:w="2960"/>
      </w:tblGrid>
      <w:tr>
        <w:trPr>
          <w:tblHeader w:val="true"/>
          <w:cantSplit/>
        </w:trPr>
        <w:tc>
          <w:tcPr>
            <w:tcW w:type="dxa" w:w="5783"/>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Variable</w:t>
            </w:r>
          </w:p>
        </w:tc>
        <w:tc>
          <w:tcPr>
            <w:tcW w:type="dxa" w:w="170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χ²</w:t>
            </w:r>
          </w:p>
        </w:tc>
        <w:tc>
          <w:tcPr>
            <w:tcW w:type="dxa" w:w="113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df</w:t>
            </w:r>
          </w:p>
        </w:tc>
        <w:tc>
          <w:tcPr>
            <w:tcW w:type="dxa" w:w="158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P value</w:t>
            </w:r>
          </w:p>
        </w:tc>
        <w:tc>
          <w:tcPr>
            <w:tcW w:type="dxa" w:w="283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PH assumption satisfied</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Recipient age, per 10 years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0.668</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0.414</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Male sex</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3.189</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0.074</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Diabetes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1.288</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0.256</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Deceased donor</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0.212</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0.645</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Good tissue match</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0.096</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0.757</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Acute rejection</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1.170</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0.279</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Cold ischemia time, per hour</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0.275</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0.600</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BMI, per kg/m²</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0.037</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0.848</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Dialysis duration, per 12 months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1.888</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0.169</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HLA mismatch count, per mismatch</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0.104</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0.747</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Discharge creatinine, per mg/dL</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0.240</w:t>
            </w:r>
          </w:p>
        </w:tc>
        <w:tc>
          <w:tcPr>
            <w:tcW w:type="dxa" w:w="113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0.625</w:t>
            </w:r>
          </w:p>
        </w:tc>
        <w:tc>
          <w:tcPr>
            <w:tcW w:type="dxa" w:w="283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Global test</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10.283</w:t>
            </w:r>
          </w:p>
        </w:tc>
        <w:tc>
          <w:tcPr>
            <w:tcW w:type="dxa" w:w="113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11</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0.505</w:t>
            </w:r>
          </w:p>
        </w:tc>
        <w:tc>
          <w:tcPr>
            <w:tcW w:type="dxa" w:w="283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Yes</w:t>
            </w:r>
          </w:p>
        </w:tc>
      </w:tr>
    </w:tbl>
    <w:p>
      <w:pPr>
        <w:spacing w:after="0"/>
      </w:pPr>
    </w:p>
    <w:p>
      <w:pPr>
        <w:keepLines/>
      </w:pPr>
      <w:r>
        <w:t>The global proportional-hazards test was not significant (χ²=10.283, df=11, P=0.505). No individual covariate test was significant at α=0.05.</w:t>
      </w:r>
    </w:p>
    <w:p>
      <w:pPr>
        <w:keepNext/>
        <w:jc w:val="center"/>
      </w:pPr>
      <w:r>
        <w:drawing>
          <wp:inline xmlns:a="http://schemas.openxmlformats.org/drawingml/2006/main" xmlns:pic="http://schemas.openxmlformats.org/drawingml/2006/picture">
            <wp:extent cx="8412480" cy="6029658"/>
            <wp:docPr id="3" name="Picture 3"/>
            <wp:cNvGraphicFramePr>
              <a:graphicFrameLocks noChangeAspect="1"/>
            </wp:cNvGraphicFramePr>
            <a:graphic>
              <a:graphicData uri="http://schemas.openxmlformats.org/drawingml/2006/picture">
                <pic:pic>
                  <pic:nvPicPr>
                    <pic:cNvPr id="0" name="Schoenfeld_Residual_Plots.png"/>
                    <pic:cNvPicPr/>
                  </pic:nvPicPr>
                  <pic:blipFill>
                    <a:blip r:embed="rId19"/>
                    <a:stretch>
                      <a:fillRect/>
                    </a:stretch>
                  </pic:blipFill>
                  <pic:spPr>
                    <a:xfrm>
                      <a:off x="0" y="0"/>
                      <a:ext cx="8412480" cy="6029658"/>
                    </a:xfrm>
                    <a:prstGeom prst="rect"/>
                  </pic:spPr>
                </pic:pic>
              </a:graphicData>
            </a:graphic>
          </wp:inline>
        </w:drawing>
      </w:r>
    </w:p>
    <w:p>
      <w:pPr>
        <w:spacing w:before="40" w:after="160"/>
        <w:jc w:val="center"/>
      </w:pPr>
      <w:r>
        <w:rPr>
          <w:rFonts w:ascii="Arial" w:hAnsi="Arial"/>
          <w:i/>
          <w:color w:val="5B6573"/>
          <w:sz w:val="17"/>
        </w:rPr>
        <w:t>Scaled Schoenfeld residual plots with smoothed time trends for each model covariate.</w:t>
      </w:r>
    </w:p>
    <w:p>
      <w:pPr>
        <w:keepNext/>
        <w:jc w:val="center"/>
      </w:pPr>
      <w:r>
        <w:drawing>
          <wp:inline xmlns:a="http://schemas.openxmlformats.org/drawingml/2006/main" xmlns:pic="http://schemas.openxmlformats.org/drawingml/2006/picture">
            <wp:extent cx="8412480" cy="2789926"/>
            <wp:docPr id="4" name="Picture 4"/>
            <wp:cNvGraphicFramePr>
              <a:graphicFrameLocks noChangeAspect="1"/>
            </wp:cNvGraphicFramePr>
            <a:graphic>
              <a:graphicData uri="http://schemas.openxmlformats.org/drawingml/2006/picture">
                <pic:pic>
                  <pic:nvPicPr>
                    <pic:cNvPr id="0" name="Log_Minus_Log_Plots.png"/>
                    <pic:cNvPicPr/>
                  </pic:nvPicPr>
                  <pic:blipFill>
                    <a:blip r:embed="rId20"/>
                    <a:stretch>
                      <a:fillRect/>
                    </a:stretch>
                  </pic:blipFill>
                  <pic:spPr>
                    <a:xfrm>
                      <a:off x="0" y="0"/>
                      <a:ext cx="8412480" cy="2789926"/>
                    </a:xfrm>
                    <a:prstGeom prst="rect"/>
                  </pic:spPr>
                </pic:pic>
              </a:graphicData>
            </a:graphic>
          </wp:inline>
        </w:drawing>
      </w:r>
    </w:p>
    <w:p>
      <w:pPr>
        <w:spacing w:before="40" w:after="160"/>
        <w:jc w:val="center"/>
      </w:pPr>
      <w:r>
        <w:rPr>
          <w:rFonts w:ascii="Arial" w:hAnsi="Arial"/>
          <w:i/>
          <w:color w:val="5B6573"/>
          <w:sz w:val="17"/>
        </w:rPr>
        <w:t>Complementary log–log curves for categorical predictors as a graphical proportional-hazards check.</w:t>
      </w:r>
    </w:p>
    <w:p>
      <w:pPr>
        <w:sectPr>
          <w:headerReference w:type="default" r:id="rId17"/>
          <w:footerReference w:type="default" r:id="rId18"/>
          <w:pgSz w:w="16838" w:h="11906" w:orient="landscape"/>
          <w:pgMar w:top="1020" w:right="1020" w:bottom="964" w:left="1020" w:header="397" w:footer="397" w:gutter="0"/>
          <w:cols w:space="720"/>
          <w:docGrid w:linePitch="360"/>
        </w:sectPr>
      </w:pPr>
    </w:p>
    <w:p>
      <w:pPr>
        <w:pStyle w:val="Heading1"/>
        <w:keepNext/>
      </w:pPr>
      <w:r>
        <w:t>Functional form and model diagnostics</w:t>
      </w:r>
    </w:p>
    <w:p>
      <w:pPr>
        <w:pStyle w:val="Heading2"/>
        <w:keepNext/>
      </w:pPr>
      <w:r>
        <w:t>Functional form</w:t>
      </w:r>
    </w:p>
    <w:tbl>
      <w:tblPr>
        <w:tblStyle w:val="TableGrid"/>
        <w:tblW w:type="auto" w:w="0"/>
        <w:jc w:val="center"/>
        <w:tblLayout w:type="fixed"/>
        <w:tblLook w:firstColumn="1" w:firstRow="1" w:lastColumn="0" w:lastRow="0" w:noHBand="0" w:noVBand="1" w:val="04A0"/>
      </w:tblPr>
      <w:tblGrid>
        <w:gridCol w:w="1973"/>
        <w:gridCol w:w="1973"/>
        <w:gridCol w:w="1973"/>
        <w:gridCol w:w="1973"/>
        <w:gridCol w:w="1973"/>
      </w:tblGrid>
      <w:tr>
        <w:trPr>
          <w:tblHeader w:val="true"/>
          <w:cantSplit/>
        </w:trPr>
        <w:tc>
          <w:tcPr>
            <w:tcW w:type="dxa" w:w="4025"/>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6"/>
              </w:rPr>
              <w:t>Continuous predictor</w:t>
            </w:r>
          </w:p>
        </w:tc>
        <w:tc>
          <w:tcPr>
            <w:tcW w:type="dxa" w:w="141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Spline LR χ²</w:t>
            </w:r>
          </w:p>
        </w:tc>
        <w:tc>
          <w:tcPr>
            <w:tcW w:type="dxa" w:w="79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df</w:t>
            </w:r>
          </w:p>
        </w:tc>
        <w:tc>
          <w:tcPr>
            <w:tcW w:type="dxa" w:w="1587"/>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P for nonlinearity</w:t>
            </w:r>
          </w:p>
        </w:tc>
        <w:tc>
          <w:tcPr>
            <w:tcW w:type="dxa" w:w="1984"/>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Linear form retained</w:t>
            </w:r>
          </w:p>
        </w:tc>
      </w:tr>
      <w:tr>
        <w:trPr>
          <w:cantSplit/>
        </w:trPr>
        <w:tc>
          <w:tcPr>
            <w:tcW w:type="dxa" w:w="402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Recipient age, per 10 years</w:t>
            </w:r>
          </w:p>
        </w:tc>
        <w:tc>
          <w:tcPr>
            <w:tcW w:type="dxa" w:w="141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0.878</w:t>
            </w:r>
          </w:p>
        </w:tc>
        <w:tc>
          <w:tcPr>
            <w:tcW w:type="dxa" w:w="79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0.645</w:t>
            </w:r>
          </w:p>
        </w:tc>
        <w:tc>
          <w:tcPr>
            <w:tcW w:type="dxa" w:w="198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402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Cold ischemia time, per hour</w:t>
            </w:r>
          </w:p>
        </w:tc>
        <w:tc>
          <w:tcPr>
            <w:tcW w:type="dxa" w:w="141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1.061</w:t>
            </w:r>
          </w:p>
        </w:tc>
        <w:tc>
          <w:tcPr>
            <w:tcW w:type="dxa" w:w="79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0.588</w:t>
            </w:r>
          </w:p>
        </w:tc>
        <w:tc>
          <w:tcPr>
            <w:tcW w:type="dxa" w:w="198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402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BMI, per kg/m²</w:t>
            </w:r>
          </w:p>
        </w:tc>
        <w:tc>
          <w:tcPr>
            <w:tcW w:type="dxa" w:w="141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2.595</w:t>
            </w:r>
          </w:p>
        </w:tc>
        <w:tc>
          <w:tcPr>
            <w:tcW w:type="dxa" w:w="79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0.273</w:t>
            </w:r>
          </w:p>
        </w:tc>
        <w:tc>
          <w:tcPr>
            <w:tcW w:type="dxa" w:w="198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402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Dialysis duration, per 12 months</w:t>
            </w:r>
          </w:p>
        </w:tc>
        <w:tc>
          <w:tcPr>
            <w:tcW w:type="dxa" w:w="141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1.254</w:t>
            </w:r>
          </w:p>
        </w:tc>
        <w:tc>
          <w:tcPr>
            <w:tcW w:type="dxa" w:w="79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0.534</w:t>
            </w:r>
          </w:p>
        </w:tc>
        <w:tc>
          <w:tcPr>
            <w:tcW w:type="dxa" w:w="198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4025"/>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HLA mismatch count, per mismatch</w:t>
            </w:r>
          </w:p>
        </w:tc>
        <w:tc>
          <w:tcPr>
            <w:tcW w:type="dxa" w:w="141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1.509</w:t>
            </w:r>
          </w:p>
        </w:tc>
        <w:tc>
          <w:tcPr>
            <w:tcW w:type="dxa" w:w="79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0.470</w:t>
            </w:r>
          </w:p>
        </w:tc>
        <w:tc>
          <w:tcPr>
            <w:tcW w:type="dxa" w:w="1984"/>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4025"/>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Discharge creatinine, per mg/dL</w:t>
            </w:r>
          </w:p>
        </w:tc>
        <w:tc>
          <w:tcPr>
            <w:tcW w:type="dxa" w:w="141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4.306</w:t>
            </w:r>
          </w:p>
        </w:tc>
        <w:tc>
          <w:tcPr>
            <w:tcW w:type="dxa" w:w="79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w:t>
            </w:r>
          </w:p>
        </w:tc>
        <w:tc>
          <w:tcPr>
            <w:tcW w:type="dxa" w:w="1587"/>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0.116</w:t>
            </w:r>
          </w:p>
        </w:tc>
        <w:tc>
          <w:tcPr>
            <w:tcW w:type="dxa" w:w="1984"/>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bl>
    <w:p>
      <w:pPr>
        <w:spacing w:after="0"/>
      </w:pPr>
    </w:p>
    <w:p>
      <w:pPr>
        <w:keepLines/>
      </w:pPr>
      <w:r>
        <w:t>Restricted cubic spline comparisons did not identify statistically significant nonlinearity; the prespecified linear forms were retained.</w:t>
      </w:r>
    </w:p>
    <w:p>
      <w:pPr>
        <w:pStyle w:val="Heading2"/>
        <w:keepNext/>
      </w:pPr>
      <w:r>
        <w:t>Multicollinearity</w:t>
      </w:r>
    </w:p>
    <w:tbl>
      <w:tblPr>
        <w:tblStyle w:val="TableGrid"/>
        <w:tblW w:type="auto" w:w="0"/>
        <w:jc w:val="center"/>
        <w:tblLayout w:type="fixed"/>
        <w:tblLook w:firstColumn="1" w:firstRow="1" w:lastColumn="0" w:lastRow="0" w:noHBand="0" w:noVBand="1" w:val="04A0"/>
      </w:tblPr>
      <w:tblGrid>
        <w:gridCol w:w="3289"/>
        <w:gridCol w:w="3289"/>
        <w:gridCol w:w="3289"/>
      </w:tblGrid>
      <w:tr>
        <w:trPr>
          <w:tblHeader w:val="true"/>
          <w:cantSplit/>
        </w:trPr>
        <w:tc>
          <w:tcPr>
            <w:tcW w:type="dxa" w:w="5783"/>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6"/>
              </w:rPr>
              <w:t>Predictor</w:t>
            </w:r>
          </w:p>
        </w:tc>
        <w:tc>
          <w:tcPr>
            <w:tcW w:type="dxa" w:w="170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VIF</w:t>
            </w:r>
          </w:p>
        </w:tc>
        <w:tc>
          <w:tcPr>
            <w:tcW w:type="dxa" w:w="170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Tolerance</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Recipient age, per 10 years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1.052</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0.951</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Male sex</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1.122</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0.891</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Diabetes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1.050</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0.952</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Deceased donor</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3.191</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0.313</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Good tissue match</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1.399</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0.715</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Acute rejection</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1.255</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0.797</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Cold ischemia time, per hour</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3.217</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0.311</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BMI, per kg/m²</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1.058</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0.946</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Dialysis duration, per 12 months</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1.054</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0.949</w:t>
            </w:r>
          </w:p>
        </w:tc>
      </w:tr>
      <w:tr>
        <w:trPr>
          <w:cantSplit/>
        </w:trPr>
        <w:tc>
          <w:tcPr>
            <w:tcW w:type="dxa" w:w="5783"/>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HLA mismatch count, per mismatch</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1.401</w:t>
            </w:r>
          </w:p>
        </w:tc>
        <w:tc>
          <w:tcPr>
            <w:tcW w:type="dxa" w:w="170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0.714</w:t>
            </w:r>
          </w:p>
        </w:tc>
      </w:tr>
      <w:tr>
        <w:trPr>
          <w:cantSplit/>
        </w:trPr>
        <w:tc>
          <w:tcPr>
            <w:tcW w:type="dxa" w:w="5783"/>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Discharge creatinine, per mg/dL</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1.248</w:t>
            </w:r>
          </w:p>
        </w:tc>
        <w:tc>
          <w:tcPr>
            <w:tcW w:type="dxa" w:w="170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0.801</w:t>
            </w:r>
          </w:p>
        </w:tc>
      </w:tr>
    </w:tbl>
    <w:p>
      <w:pPr>
        <w:spacing w:after="0"/>
      </w:pPr>
    </w:p>
    <w:p>
      <w:pPr>
        <w:keepLines/>
      </w:pPr>
      <w:r>
        <w:t>Maximum VIF was 3.217, minimum tolerance was 0.311, and maximum condition index was 3.436; there was no evidence of severe multicollinearity.</w:t>
      </w:r>
    </w:p>
    <w:p>
      <w:pPr>
        <w:pStyle w:val="Heading2"/>
        <w:keepNext/>
      </w:pPr>
      <w:r>
        <w:t>Influence and residual diagnostics</w:t>
      </w:r>
    </w:p>
    <w:tbl>
      <w:tblPr>
        <w:tblStyle w:val="TableGrid"/>
        <w:tblW w:type="auto" w:w="0"/>
        <w:jc w:val="center"/>
        <w:tblLayout w:type="fixed"/>
        <w:tblLook w:firstColumn="1" w:firstRow="1" w:lastColumn="0" w:lastRow="0" w:noHBand="0" w:noVBand="1" w:val="04A0"/>
      </w:tblPr>
      <w:tblGrid>
        <w:gridCol w:w="4933"/>
        <w:gridCol w:w="4933"/>
      </w:tblGrid>
      <w:tr>
        <w:trPr>
          <w:tblHeader w:val="true"/>
          <w:cantSplit/>
        </w:trPr>
        <w:tc>
          <w:tcPr>
            <w:tcW w:type="dxa" w:w="6520"/>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7"/>
              </w:rPr>
              <w:t>Diagnostic</w:t>
            </w:r>
          </w:p>
        </w:tc>
        <w:tc>
          <w:tcPr>
            <w:tcW w:type="dxa" w:w="2551"/>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7"/>
              </w:rPr>
              <w:t>Result</w:t>
            </w:r>
          </w:p>
        </w:tc>
      </w:tr>
      <w:tr>
        <w:trPr>
          <w:cantSplit/>
        </w:trPr>
        <w:tc>
          <w:tcPr>
            <w:tcW w:type="dxa" w:w="65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Conservative standardized DFBETA screening threshold</w:t>
            </w:r>
          </w:p>
        </w:tc>
        <w:tc>
          <w:tcPr>
            <w:tcW w:type="dxa" w:w="255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0.141</w:t>
            </w:r>
          </w:p>
        </w:tc>
      </w:tr>
      <w:tr>
        <w:trPr>
          <w:cantSplit/>
        </w:trPr>
        <w:tc>
          <w:tcPr>
            <w:tcW w:type="dxa" w:w="65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Records above screening threshold</w:t>
            </w:r>
          </w:p>
        </w:tc>
        <w:tc>
          <w:tcPr>
            <w:tcW w:type="dxa" w:w="255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68</w:t>
            </w:r>
          </w:p>
        </w:tc>
      </w:tr>
      <w:tr>
        <w:trPr>
          <w:cantSplit/>
        </w:trPr>
        <w:tc>
          <w:tcPr>
            <w:tcW w:type="dxa" w:w="65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Maximum absolute standardized DFBETA</w:t>
            </w:r>
          </w:p>
        </w:tc>
        <w:tc>
          <w:tcPr>
            <w:tcW w:type="dxa" w:w="255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0.407</w:t>
            </w:r>
          </w:p>
        </w:tc>
      </w:tr>
      <w:tr>
        <w:trPr>
          <w:cantSplit/>
        </w:trPr>
        <w:tc>
          <w:tcPr>
            <w:tcW w:type="dxa" w:w="65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Absolute deviance residuals &gt;3</w:t>
            </w:r>
          </w:p>
        </w:tc>
        <w:tc>
          <w:tcPr>
            <w:tcW w:type="dxa" w:w="255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w:t>
            </w:r>
          </w:p>
        </w:tc>
      </w:tr>
      <w:tr>
        <w:trPr>
          <w:cantSplit/>
        </w:trPr>
        <w:tc>
          <w:tcPr>
            <w:tcW w:type="dxa" w:w="6520"/>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Maximum absolute deviance residual</w:t>
            </w:r>
          </w:p>
        </w:tc>
        <w:tc>
          <w:tcPr>
            <w:tcW w:type="dxa" w:w="2551"/>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2.898</w:t>
            </w:r>
          </w:p>
        </w:tc>
      </w:tr>
      <w:tr>
        <w:trPr>
          <w:cantSplit/>
        </w:trPr>
        <w:tc>
          <w:tcPr>
            <w:tcW w:type="dxa" w:w="6520"/>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7"/>
              </w:rPr>
              <w:t>Leave-one-out model failures</w:t>
            </w:r>
          </w:p>
        </w:tc>
        <w:tc>
          <w:tcPr>
            <w:tcW w:type="dxa" w:w="2551"/>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7"/>
              </w:rPr>
              <w:t>0</w:t>
            </w:r>
          </w:p>
        </w:tc>
      </w:tr>
    </w:tbl>
    <w:p>
      <w:pPr>
        <w:spacing w:after="0"/>
      </w:pPr>
    </w:p>
    <w:p>
      <w:pPr>
        <w:keepLines/>
      </w:pPr>
      <w:r>
        <w:t>The conservative DFBETA screen flagged observations for review, but the maximum standardized DFBETA was below 1 and no absolute deviance residual exceeded 3. The leave-one-out fits all converged. Patient identifiers are retained only in the cleaned QC file and were not used as predictors.</w:t>
      </w:r>
    </w:p>
    <w:p>
      <w:pPr>
        <w:keepNext/>
        <w:jc w:val="center"/>
      </w:pPr>
      <w:r>
        <w:drawing>
          <wp:inline xmlns:a="http://schemas.openxmlformats.org/drawingml/2006/main" xmlns:pic="http://schemas.openxmlformats.org/drawingml/2006/picture">
            <wp:extent cx="6035040" cy="4794276"/>
            <wp:docPr id="5" name="Picture 5"/>
            <wp:cNvGraphicFramePr>
              <a:graphicFrameLocks noChangeAspect="1"/>
            </wp:cNvGraphicFramePr>
            <a:graphic>
              <a:graphicData uri="http://schemas.openxmlformats.org/drawingml/2006/picture">
                <pic:pic>
                  <pic:nvPicPr>
                    <pic:cNvPr id="0" name="Residual_Diagnostics.png"/>
                    <pic:cNvPicPr/>
                  </pic:nvPicPr>
                  <pic:blipFill>
                    <a:blip r:embed="rId23"/>
                    <a:stretch>
                      <a:fillRect/>
                    </a:stretch>
                  </pic:blipFill>
                  <pic:spPr>
                    <a:xfrm>
                      <a:off x="0" y="0"/>
                      <a:ext cx="6035040" cy="4794276"/>
                    </a:xfrm>
                    <a:prstGeom prst="rect"/>
                  </pic:spPr>
                </pic:pic>
              </a:graphicData>
            </a:graphic>
          </wp:inline>
        </w:drawing>
      </w:r>
    </w:p>
    <w:p>
      <w:pPr>
        <w:spacing w:before="40" w:after="160"/>
        <w:jc w:val="center"/>
      </w:pPr>
      <w:r>
        <w:rPr>
          <w:rFonts w:ascii="Arial" w:hAnsi="Arial"/>
          <w:i/>
          <w:color w:val="5B6573"/>
          <w:sz w:val="17"/>
        </w:rPr>
        <w:t>Martingale, deviance, Cox–Snell, and influence diagnostics for the adjusted Cox model.</w:t>
      </w:r>
    </w:p>
    <w:p>
      <w:pPr>
        <w:pStyle w:val="Heading1"/>
        <w:keepNext/>
      </w:pPr>
      <w:r>
        <w:t>Adjusted effects and predicted survival</w:t>
      </w:r>
    </w:p>
    <w:p>
      <w:pPr>
        <w:keepNext/>
        <w:jc w:val="center"/>
      </w:pPr>
      <w:r>
        <w:drawing>
          <wp:inline xmlns:a="http://schemas.openxmlformats.org/drawingml/2006/main" xmlns:pic="http://schemas.openxmlformats.org/drawingml/2006/picture">
            <wp:extent cx="5943600" cy="4286121"/>
            <wp:docPr id="6" name="Picture 6"/>
            <wp:cNvGraphicFramePr>
              <a:graphicFrameLocks noChangeAspect="1"/>
            </wp:cNvGraphicFramePr>
            <a:graphic>
              <a:graphicData uri="http://schemas.openxmlformats.org/drawingml/2006/picture">
                <pic:pic>
                  <pic:nvPicPr>
                    <pic:cNvPr id="0" name="Figure_2_Forest_Plot.png"/>
                    <pic:cNvPicPr/>
                  </pic:nvPicPr>
                  <pic:blipFill>
                    <a:blip r:embed="rId24"/>
                    <a:stretch>
                      <a:fillRect/>
                    </a:stretch>
                  </pic:blipFill>
                  <pic:spPr>
                    <a:xfrm>
                      <a:off x="0" y="0"/>
                      <a:ext cx="5943600" cy="4286121"/>
                    </a:xfrm>
                    <a:prstGeom prst="rect"/>
                  </pic:spPr>
                </pic:pic>
              </a:graphicData>
            </a:graphic>
          </wp:inline>
        </w:drawing>
      </w:r>
    </w:p>
    <w:p>
      <w:pPr>
        <w:spacing w:before="40" w:after="160"/>
        <w:jc w:val="center"/>
      </w:pPr>
      <w:r>
        <w:rPr>
          <w:rFonts w:ascii="Arial" w:hAnsi="Arial"/>
          <w:i/>
          <w:color w:val="5B6573"/>
          <w:sz w:val="17"/>
        </w:rPr>
        <w:t>Figure 2. Adjusted hazard ratios from the multivariable Cox model. Points are hazard-ratio estimates and bars are 95% confidence intervals.</w:t>
      </w:r>
    </w:p>
    <w:p>
      <w:pPr>
        <w:pStyle w:val="Heading2"/>
        <w:keepNext/>
      </w:pPr>
      <w:r>
        <w:t>Illustrative observed risk profiles</w:t>
      </w:r>
    </w:p>
    <w:tbl>
      <w:tblPr>
        <w:tblStyle w:val="TableGrid"/>
        <w:tblW w:type="auto" w:w="0"/>
        <w:jc w:val="center"/>
        <w:tblLayout w:type="fixed"/>
        <w:tblLook w:firstColumn="1" w:firstRow="1" w:lastColumn="0" w:lastRow="0" w:noHBand="0" w:noVBand="1" w:val="04A0"/>
      </w:tblPr>
      <w:tblGrid>
        <w:gridCol w:w="3289"/>
        <w:gridCol w:w="3289"/>
        <w:gridCol w:w="3289"/>
      </w:tblGrid>
      <w:tr>
        <w:trPr>
          <w:tblHeader w:val="true"/>
          <w:cantSplit/>
        </w:trPr>
        <w:tc>
          <w:tcPr>
            <w:tcW w:type="dxa" w:w="311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left"/>
            </w:pPr>
            <w:r/>
            <w:r>
              <w:rPr>
                <w:rFonts w:ascii="Arial" w:hAnsi="Arial"/>
                <w:b/>
                <w:color w:val="FFFFFF"/>
                <w:sz w:val="16"/>
              </w:rPr>
              <w:t>Characteristic</w:t>
            </w:r>
          </w:p>
        </w:tc>
        <w:tc>
          <w:tcPr>
            <w:tcW w:type="dxa" w:w="311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Lower modeled-risk profile</w:t>
            </w:r>
          </w:p>
        </w:tc>
        <w:tc>
          <w:tcPr>
            <w:tcW w:type="dxa" w:w="3118"/>
            <w:shd w:fill="17365D"/>
            <w:tcBorders>
              <w:top w:val="single" w:sz="5" w:space="0" w:color="FFFFFF"/>
              <w:left w:val="single" w:sz="5" w:space="0" w:color="FFFFFF"/>
              <w:bottom w:val="single" w:sz="5" w:space="0" w:color="FFFFFF"/>
              <w:right w:val="single" w:sz="5" w:space="0" w:color="FFFFFF"/>
              <w:insideH w:val="single" w:sz="5" w:space="0" w:color="FFFFFF"/>
              <w:insideV w:val="single" w:sz="5" w:space="0" w:color="FFFFFF"/>
            </w:tcBorders>
            <w:vAlign w:val="center"/>
          </w:tcPr>
          <w:p>
            <w:pPr>
              <w:spacing w:after="0" w:before="0"/>
              <w:jc w:val="center"/>
            </w:pPr>
            <w:r/>
            <w:r>
              <w:rPr>
                <w:rFonts w:ascii="Arial" w:hAnsi="Arial"/>
                <w:b/>
                <w:color w:val="FFFFFF"/>
                <w:sz w:val="16"/>
              </w:rPr>
              <w:t>Higher modeled-risk profile</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Basis</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Observed record nearest fitted LP 25th percentile</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Observed record nearest fitted LP 75th percentile</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Recipient age</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46 years</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42 years</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Sex</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Male</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Female</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Diabetes</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No</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Yes</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Donor type</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Living</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Deceased</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Good tissue match</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No</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No</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Acute rejection</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No</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No</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Cold ischemia</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4.2 h</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11.3 h</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BMI</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27.8 kg/m²</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26.7 kg/m²</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Dialysis duration</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37 months</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22 months</w:t>
            </w:r>
          </w:p>
        </w:tc>
      </w:tr>
      <w:tr>
        <w:trPr>
          <w:cantSplit/>
        </w:trPr>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HLA mismatch count</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4</w:t>
            </w:r>
          </w:p>
        </w:tc>
        <w:tc>
          <w:tcPr>
            <w:tcW w:type="dxa" w:w="3118"/>
            <w:shd w:fill="FFFFFF"/>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3</w:t>
            </w:r>
          </w:p>
        </w:tc>
      </w:tr>
      <w:tr>
        <w:trPr>
          <w:cantSplit/>
        </w:trPr>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left"/>
            </w:pPr>
            <w:r/>
            <w:r>
              <w:rPr>
                <w:rFonts w:ascii="Arial" w:hAnsi="Arial"/>
                <w:b w:val="0"/>
                <w:color w:val="1F2328"/>
                <w:sz w:val="16"/>
              </w:rPr>
              <w:t>Discharge creatinine</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1.45 mg/dL</w:t>
            </w:r>
          </w:p>
        </w:tc>
        <w:tc>
          <w:tcPr>
            <w:tcW w:type="dxa" w:w="3118"/>
            <w:shd w:fill="EDF3F8"/>
            <w:tcBorders>
              <w:top w:val="single" w:sz="6" w:space="0" w:color="AAB8C6"/>
              <w:left w:val="single" w:sz="6" w:space="0" w:color="AAB8C6"/>
              <w:bottom w:val="single" w:sz="6" w:space="0" w:color="AAB8C6"/>
              <w:right w:val="single" w:sz="6" w:space="0" w:color="AAB8C6"/>
              <w:insideH w:val="single" w:sz="6" w:space="0" w:color="AAB8C6"/>
              <w:insideV w:val="single" w:sz="6" w:space="0" w:color="AAB8C6"/>
            </w:tcBorders>
            <w:vAlign w:val="center"/>
          </w:tcPr>
          <w:p>
            <w:pPr>
              <w:spacing w:after="0" w:before="0"/>
              <w:jc w:val="center"/>
            </w:pPr>
            <w:r/>
            <w:r>
              <w:rPr>
                <w:rFonts w:ascii="Arial" w:hAnsi="Arial"/>
                <w:b w:val="0"/>
                <w:color w:val="1F2328"/>
                <w:sz w:val="16"/>
              </w:rPr>
              <w:t>0.77 mg/dL</w:t>
            </w:r>
          </w:p>
        </w:tc>
      </w:tr>
    </w:tbl>
    <w:p>
      <w:pPr>
        <w:spacing w:after="0"/>
      </w:pPr>
    </w:p>
    <w:p>
      <w:pPr>
        <w:keepLines/>
      </w:pPr>
      <w:r>
        <w:t>Predicted survival was 0.925 at 12 months and 0.772 at 36 months for the lower modeled-risk profile, compared with 0.806 and 0.491, respectively, for the higher modeled-risk profile.</w:t>
      </w:r>
    </w:p>
    <w:p>
      <w:pPr>
        <w:keepNext/>
        <w:jc w:val="center"/>
      </w:pPr>
      <w:r>
        <w:drawing>
          <wp:inline xmlns:a="http://schemas.openxmlformats.org/drawingml/2006/main" xmlns:pic="http://schemas.openxmlformats.org/drawingml/2006/picture">
            <wp:extent cx="5943600" cy="4011806"/>
            <wp:docPr id="7" name="Picture 7"/>
            <wp:cNvGraphicFramePr>
              <a:graphicFrameLocks noChangeAspect="1"/>
            </wp:cNvGraphicFramePr>
            <a:graphic>
              <a:graphicData uri="http://schemas.openxmlformats.org/drawingml/2006/picture">
                <pic:pic>
                  <pic:nvPicPr>
                    <pic:cNvPr id="0" name="Figure_3_Predicted_Survival.png"/>
                    <pic:cNvPicPr/>
                  </pic:nvPicPr>
                  <pic:blipFill>
                    <a:blip r:embed="rId25"/>
                    <a:stretch>
                      <a:fillRect/>
                    </a:stretch>
                  </pic:blipFill>
                  <pic:spPr>
                    <a:xfrm>
                      <a:off x="0" y="0"/>
                      <a:ext cx="5943600" cy="4011806"/>
                    </a:xfrm>
                    <a:prstGeom prst="rect"/>
                  </pic:spPr>
                </pic:pic>
              </a:graphicData>
            </a:graphic>
          </wp:inline>
        </w:drawing>
      </w:r>
    </w:p>
    <w:p>
      <w:pPr>
        <w:spacing w:before="40" w:after="160"/>
        <w:jc w:val="center"/>
      </w:pPr>
      <w:r>
        <w:rPr>
          <w:rFonts w:ascii="Arial" w:hAnsi="Arial"/>
          <w:i/>
          <w:color w:val="5B6573"/>
          <w:sz w:val="17"/>
        </w:rPr>
        <w:t>Figure 3. Model-predicted graft survival for two observed patient profiles near the 25th and 75th percentiles of the fitted linear predictor.</w:t>
      </w:r>
    </w:p>
    <w:p>
      <w:pPr>
        <w:pStyle w:val="Heading1"/>
        <w:keepNext/>
      </w:pPr>
      <w:r>
        <w:t>Competing-risk assessment</w:t>
      </w:r>
    </w:p>
    <w:p>
      <w:pPr>
        <w:keepLines/>
      </w:pPr>
      <w:r>
        <w:t>No competing-event indicator (for example, death with a functioning graft) is present in the dataset. Therefore, cumulative-incidence and Fine–Gray models were not estimable from this workbook.</w:t>
      </w:r>
    </w:p>
    <w:p>
      <w:pPr>
        <w:pStyle w:val="Heading1"/>
        <w:keepNext/>
      </w:pPr>
      <w:r>
        <w:t>Journal-ready results</w:t>
      </w:r>
    </w:p>
    <w:p>
      <w:pPr>
        <w:keepLines/>
      </w:pPr>
      <w:r>
        <w:t>Among 200 synthetic kidney-transplant records, 85 graft failures (42.5%) occurred over 523.4 person-years. Median follow-up estimated by the reverse Kaplan–Meier method was 41.2 months (95% CI 38.3–44.1). Overall graft-survival estimates were 0.850 (95% CI 0.793–0.893) at 12 months, 0.720 (95% CI 0.652–0.777) at 24 months, and 0.617 (95% CI 0.544–0.683) at 36 months. The estimated median graft-survival time was 54.3 months (95% CI lower bound 42.4 months; upper bound not estimable).</w:t>
      </w:r>
    </w:p>
    <w:p>
      <w:pPr>
        <w:keepLines/>
      </w:pPr>
      <w:r>
        <w:t>Log-rank tests identified differences by diabetes status (P=.002), donor type (P&lt;.001), and acute rejection status (P&lt;.001); no statistically significant difference was identified by sex or tissue-match group. In the adjusted Cox model, diabetes was associated with a higher graft-failure hazard (adjusted HR 1.723, 95% CI 1.054–2.819; P=.030), as was acute rejection (adjusted HR 2.035, 95% CI 1.219–3.397; P=.007). The remaining adjusted associations were not statistically significant at α=0.05.</w:t>
      </w:r>
    </w:p>
    <w:p>
      <w:pPr>
        <w:keepLines/>
      </w:pPr>
      <w:r>
        <w:t>The overall Cox model was statistically significant (likelihood-ratio χ²=36.761, df=11; P&lt;.001) and had a Harrell C-index of 0.675 (bootstrap 95% CI 0.617–0.734). The proportional-hazards assumption was supported by the global Schoenfeld residual test (χ²=10.283, df=11; P=.505), and no material nonlinearity or severe multicollinearity was detected.</w:t>
      </w:r>
    </w:p>
    <w:p>
      <w:pPr>
        <w:pStyle w:val="Heading1"/>
        <w:keepNext/>
      </w:pPr>
      <w:r>
        <w:t>Interpretation</w:t>
      </w:r>
    </w:p>
    <w:p>
      <w:pPr>
        <w:keepLines/>
      </w:pPr>
      <w:r>
        <w:t>Within this synthetic dataset, diabetes and acute rejection were the only covariates with statistically significant adjusted associations. The estimated hazard was approximately 72% higher for diabetes and 104% higher for acute rejection, conditional on the other model variables. These are associational estimates from a teaching dataset and must not be interpreted as causal or clinically actionable.</w:t>
      </w:r>
    </w:p>
    <w:p>
      <w:pPr>
        <w:pStyle w:val="Heading1"/>
        <w:keepNext/>
      </w:pPr>
      <w:r>
        <w:t>Limitations</w:t>
      </w:r>
    </w:p>
    <w:p>
      <w:pPr>
        <w:pStyle w:val="ListBullet"/>
      </w:pPr>
      <w:r>
        <w:t>The workbook identifies the dataset as synthetic and intended for teaching/practice; it must not be represented as real clinical evidence.</w:t>
      </w:r>
    </w:p>
    <w:p>
      <w:pPr>
        <w:pStyle w:val="ListBullet"/>
      </w:pPr>
      <w:r>
        <w:t>Only 85 events were available for 11 model parameters (7.7 events per parameter), so the adjusted model may be optimistic and requires external validation.</w:t>
      </w:r>
    </w:p>
    <w:p>
      <w:pPr>
        <w:pStyle w:val="ListBullet"/>
      </w:pPr>
      <w:r>
        <w:t>The timing of acute rejection is unavailable; treating it as a fixed covariate may be inappropriate if it occurred during follow-up.</w:t>
      </w:r>
    </w:p>
    <w:p>
      <w:pPr>
        <w:pStyle w:val="ListBullet"/>
      </w:pPr>
      <w:r>
        <w:t>No competing-event variable was available, so cumulative incidence and Fine-Gray analyses could not be performed.</w:t>
      </w:r>
    </w:p>
    <w:p>
      <w:pPr>
        <w:pStyle w:val="ListBullet"/>
      </w:pPr>
      <w:r>
        <w:t>Maximum observed follow-up was below 60 months, so 60-month survival was not reported.</w:t>
      </w:r>
    </w:p>
    <w:p>
      <w:pPr>
        <w:pStyle w:val="Heading1"/>
        <w:keepNext/>
      </w:pPr>
      <w:r>
        <w:t>Conclusion</w:t>
      </w:r>
    </w:p>
    <w:p>
      <w:pPr>
        <w:keepLines/>
      </w:pPr>
      <w:r>
        <w:t>The complete-case Cox analysis converged and showed acceptable internal discrimination with no detected proportional-hazards violation. Diabetes and acute rejection were associated with higher graft-failure hazard after adjustment. Because the workbook contains synthetic data, has a modest number of events relative to model complexity, and lacks timing for acute rejection and competing events, the findings are suitable only for methodological demonstration and require validation in real clinical data before any substantive use.</w:t>
      </w:r>
    </w:p>
    <w:p>
      <w:pPr>
        <w:pStyle w:val="Heading1"/>
        <w:keepNext/>
      </w:pPr>
      <w:r>
        <w:t>Reproducibility statement</w:t>
      </w:r>
    </w:p>
    <w:p>
      <w:pPr>
        <w:keepLines/>
      </w:pPr>
      <w:r>
        <w:t>All numeric estimates, tables, and figures in this report were generated directly from the uploaded workbook using the accompanying Python analysis script. No regression estimate was manually invented. The cleaned Excel file retains the source observations and adds explicitly labeled analysis variables and quality-control documentation.</w:t>
      </w:r>
    </w:p>
    <w:sectPr w:rsidR="00FC693F" w:rsidRPr="0006063C" w:rsidSect="00034616">
      <w:headerReference w:type="default" r:id="rId21"/>
      <w:footerReference w:type="default" r:id="rId22"/>
      <w:pgSz w:w="11906" w:h="16838"/>
      <w:pgMar w:top="1020" w:right="1020" w:bottom="964" w:left="1020" w:header="397" w:footer="397"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sz w:val="16"/>
      </w:rPr>
      <w:t xml:space="preserve">Page </w:t>
    </w:r>
    <w:fldSimple w:instr="PAGE"/>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sz w:val="16"/>
      </w:rPr>
      <w:t xml:space="preserve">Page </w:t>
    </w:r>
    <w:fldSimple w:instr="PAGE"/>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sz w:val="16"/>
      </w:rPr>
      <w:t xml:space="preserve">Page </w:t>
    </w:r>
    <w:fldSimple w:instr="PAGE"/>
  </w:p>
</w:ftr>
</file>

<file path=word/footer4.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sz w:val="16"/>
      </w:rPr>
      <w:t xml:space="preserve">Page </w:t>
    </w:r>
    <w:fldSimple w:instr="PAGE"/>
  </w:p>
</w:ftr>
</file>

<file path=word/footer5.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right"/>
    </w:pPr>
    <w:r>
      <w:rPr>
        <w:rFonts w:ascii="Arial" w:hAnsi="Arial"/>
        <w:sz w:val="16"/>
      </w:rPr>
      <w:t xml:space="preserve">Page </w:t>
    </w:r>
    <w:fldSimple w:instr="PAGE"/>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b/>
        <w:color w:val="5B6573"/>
        <w:sz w:val="15"/>
      </w:rPr>
      <w:t>SYNTHETIC KIDNEY TRANSPLANT SURVIVAL ANALYSIS</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b/>
        <w:color w:val="5B6573"/>
        <w:sz w:val="15"/>
      </w:rPr>
      <w:t>SYNTHETIC KIDNEY TRANSPLANT SURVIVAL ANALYSIS</w:t>
    </w:r>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b/>
        <w:color w:val="5B6573"/>
        <w:sz w:val="15"/>
      </w:rPr>
      <w:t>SYNTHETIC KIDNEY TRANSPLANT SURVIVAL ANALYSIS</w:t>
    </w:r>
  </w:p>
</w:hdr>
</file>

<file path=word/header4.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b/>
        <w:color w:val="5B6573"/>
        <w:sz w:val="15"/>
      </w:rPr>
      <w:t>SYNTHETIC KIDNEY TRANSPLANT SURVIVAL ANALYSIS</w:t>
    </w:r>
  </w:p>
</w:hdr>
</file>

<file path=word/header5.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rPr>
        <w:rFonts w:ascii="Arial" w:hAnsi="Arial"/>
        <w:b/>
        <w:color w:val="5B6573"/>
        <w:sz w:val="15"/>
      </w:rPr>
      <w:t>SYNTHETIC KIDNEY TRANSPLANT SURVIVAL ANALYSIS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00" w:line="259" w:lineRule="auto"/>
    </w:pPr>
    <w:rPr>
      <w:rFonts w:ascii="Arial" w:hAnsi="Arial"/>
      <w:color w:val="1F2328"/>
      <w:sz w:val="19"/>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240" w:after="100"/>
      <w:outlineLvl w:val="0"/>
    </w:pPr>
    <w:rPr>
      <w:rFonts w:asciiTheme="majorHAnsi" w:eastAsiaTheme="majorEastAsia" w:hAnsiTheme="majorHAnsi" w:cstheme="majorBidi" w:ascii="Arial" w:hAnsi="Arial"/>
      <w:b/>
      <w:bCs/>
      <w:color w:val="17365D"/>
      <w:sz w:val="32"/>
      <w:szCs w:val="28"/>
    </w:rPr>
  </w:style>
  <w:style w:type="paragraph" w:styleId="Heading2">
    <w:name w:val="heading 2"/>
    <w:basedOn w:val="Normal"/>
    <w:next w:val="Normal"/>
    <w:link w:val="Heading2Char"/>
    <w:uiPriority w:val="9"/>
    <w:unhideWhenUsed/>
    <w:qFormat/>
    <w:rsid w:val="00FC693F"/>
    <w:pPr>
      <w:keepNext/>
      <w:keepLines/>
      <w:spacing w:before="160" w:after="100"/>
      <w:outlineLvl w:val="1"/>
    </w:pPr>
    <w:rPr>
      <w:rFonts w:asciiTheme="majorHAnsi" w:eastAsiaTheme="majorEastAsia" w:hAnsiTheme="majorHAnsi" w:cstheme="majorBidi" w:ascii="Arial" w:hAnsi="Arial"/>
      <w:b/>
      <w:bCs/>
      <w:color w:val="1F4E78"/>
      <w:sz w:val="24"/>
      <w:szCs w:val="26"/>
    </w:rPr>
  </w:style>
  <w:style w:type="paragraph" w:styleId="Heading3">
    <w:name w:val="heading 3"/>
    <w:basedOn w:val="Normal"/>
    <w:next w:val="Normal"/>
    <w:link w:val="Heading3Char"/>
    <w:uiPriority w:val="9"/>
    <w:unhideWhenUsed/>
    <w:qFormat/>
    <w:rsid w:val="00FC693F"/>
    <w:pPr>
      <w:keepNext/>
      <w:keepLines/>
      <w:spacing w:before="160" w:after="100"/>
      <w:outlineLvl w:val="2"/>
    </w:pPr>
    <w:rPr>
      <w:rFonts w:asciiTheme="majorHAnsi" w:eastAsiaTheme="majorEastAsia" w:hAnsiTheme="majorHAnsi" w:cstheme="majorBidi" w:ascii="Arial" w:hAnsi="Arial"/>
      <w:b/>
      <w:bCs/>
      <w:color w:val="5B6573"/>
      <w:sz w:val="20"/>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header" Target="header2.xml"/><Relationship Id="rId13" Type="http://schemas.openxmlformats.org/officeDocument/2006/relationships/footer" Target="footer2.xml"/><Relationship Id="rId14" Type="http://schemas.openxmlformats.org/officeDocument/2006/relationships/image" Target="media/image2.png"/><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header" Target="header4.xml"/><Relationship Id="rId18" Type="http://schemas.openxmlformats.org/officeDocument/2006/relationships/footer" Target="footer4.xml"/><Relationship Id="rId19" Type="http://schemas.openxmlformats.org/officeDocument/2006/relationships/image" Target="media/image3.png"/><Relationship Id="rId20" Type="http://schemas.openxmlformats.org/officeDocument/2006/relationships/image" Target="media/image4.png"/><Relationship Id="rId21" Type="http://schemas.openxmlformats.org/officeDocument/2006/relationships/header" Target="header5.xml"/><Relationship Id="rId22" Type="http://schemas.openxmlformats.org/officeDocument/2006/relationships/footer" Target="footer5.xml"/><Relationship Id="rId23" Type="http://schemas.openxmlformats.org/officeDocument/2006/relationships/image" Target="media/image5.png"/><Relationship Id="rId24" Type="http://schemas.openxmlformats.org/officeDocument/2006/relationships/image" Target="media/image6.png"/><Relationship Id="rId25"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Medical Survival Analysis — Synthetic Kidney Transplant Dataset</dc:title>
  <dc:subject>Kaplan–Meier and Cox proportional hazards regression</dc:subject>
  <dc:creator>Statistical analysis generated from uploaded data</dc:creator>
  <cp:keywords>synthetic data, survival analysis, Cox regression, kidney transplant</cp:keywords>
  <dc:description>generated by python-docx</dc:description>
  <cp:lastModifiedBy/>
  <cp:revision>1</cp:revision>
  <dcterms:created xsi:type="dcterms:W3CDTF">2013-12-23T23:15:00Z</dcterms:created>
  <dcterms:modified xsi:type="dcterms:W3CDTF">2013-12-23T23:15:00Z</dcterms:modified>
  <cp:category/>
</cp:coreProperties>
</file>